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horzAnchor="margin" w:tblpXSpec="center" w:tblpY="2881"/>
        <w:tblW w:w="4000" w:type="pct"/>
        <w:tblBorders>
          <w:left w:val="single" w:sz="18" w:space="0" w:color="4F81BD"/>
        </w:tblBorders>
        <w:tblLook w:val="04A0" w:firstRow="1" w:lastRow="0" w:firstColumn="1" w:lastColumn="0" w:noHBand="0" w:noVBand="1"/>
      </w:tblPr>
      <w:tblGrid>
        <w:gridCol w:w="7672"/>
      </w:tblGrid>
      <w:tr w:rsidR="00D12649" w:rsidTr="00D12649">
        <w:tc>
          <w:tcPr>
            <w:tcW w:w="7672" w:type="dxa"/>
            <w:tcMar>
              <w:top w:w="216" w:type="dxa"/>
              <w:left w:w="115" w:type="dxa"/>
              <w:bottom w:w="216" w:type="dxa"/>
              <w:right w:w="115" w:type="dxa"/>
            </w:tcMar>
          </w:tcPr>
          <w:p w:rsidR="00D12649" w:rsidRPr="00D12649" w:rsidRDefault="00D12649" w:rsidP="00F84576">
            <w:pPr>
              <w:pStyle w:val="NoSpacing"/>
              <w:rPr>
                <w:rFonts w:ascii="Cambria" w:eastAsia="Times New Roman" w:hAnsi="Cambria" w:cs="Times New Roman"/>
              </w:rPr>
            </w:pPr>
            <w:r>
              <w:rPr>
                <w:rFonts w:ascii="Cambria" w:eastAsia="Times New Roman" w:hAnsi="Cambria" w:cs="Times New Roman"/>
                <w:sz w:val="20"/>
                <w:szCs w:val="20"/>
              </w:rPr>
              <w:t>VLSI Design 6332</w:t>
            </w:r>
          </w:p>
        </w:tc>
      </w:tr>
      <w:tr w:rsidR="00D12649" w:rsidTr="00D12649">
        <w:tc>
          <w:tcPr>
            <w:tcW w:w="7672" w:type="dxa"/>
          </w:tcPr>
          <w:p w:rsidR="00D12649" w:rsidRPr="00D12649" w:rsidRDefault="00D12649" w:rsidP="00B616A9">
            <w:pPr>
              <w:pStyle w:val="NoSpacing"/>
              <w:jc w:val="center"/>
              <w:rPr>
                <w:rFonts w:ascii="Cambria" w:eastAsia="Times New Roman" w:hAnsi="Cambria" w:cs="Times New Roman"/>
                <w:color w:val="4F81BD"/>
                <w:sz w:val="80"/>
                <w:szCs w:val="80"/>
              </w:rPr>
            </w:pPr>
            <w:r w:rsidRPr="00D12649">
              <w:rPr>
                <w:rFonts w:ascii="Cambria" w:eastAsia="Times New Roman" w:hAnsi="Cambria" w:cs="Times New Roman"/>
                <w:color w:val="4F81BD"/>
                <w:sz w:val="80"/>
                <w:szCs w:val="80"/>
              </w:rPr>
              <w:t>Design Review</w:t>
            </w:r>
            <w:r w:rsidR="00EB7533">
              <w:rPr>
                <w:rFonts w:ascii="Cambria" w:eastAsia="Times New Roman" w:hAnsi="Cambria" w:cs="Times New Roman"/>
                <w:color w:val="4F81BD"/>
                <w:sz w:val="80"/>
                <w:szCs w:val="80"/>
              </w:rPr>
              <w:t xml:space="preserve"> 1</w:t>
            </w:r>
          </w:p>
        </w:tc>
      </w:tr>
      <w:tr w:rsidR="00D12649" w:rsidTr="00D12649">
        <w:tc>
          <w:tcPr>
            <w:tcW w:w="7672" w:type="dxa"/>
            <w:tcMar>
              <w:top w:w="216" w:type="dxa"/>
              <w:left w:w="115" w:type="dxa"/>
              <w:bottom w:w="216" w:type="dxa"/>
              <w:right w:w="115" w:type="dxa"/>
            </w:tcMar>
          </w:tcPr>
          <w:p w:rsidR="00D12649" w:rsidRDefault="006E44AD" w:rsidP="00EC1132">
            <w:pPr>
              <w:pStyle w:val="NoSpacing"/>
              <w:jc w:val="center"/>
              <w:rPr>
                <w:rFonts w:ascii="Cambria" w:eastAsia="Times New Roman" w:hAnsi="Cambria" w:cs="Times New Roman"/>
                <w:sz w:val="48"/>
                <w:szCs w:val="48"/>
              </w:rPr>
            </w:pPr>
            <w:r w:rsidRPr="003F4D9C">
              <w:rPr>
                <w:rFonts w:ascii="Cambria" w:eastAsia="Times New Roman" w:hAnsi="Cambria" w:cs="Times New Roman"/>
                <w:sz w:val="48"/>
                <w:szCs w:val="48"/>
              </w:rPr>
              <w:t>A Metho</w:t>
            </w:r>
            <w:r w:rsidR="00685B04">
              <w:rPr>
                <w:rFonts w:ascii="Cambria" w:eastAsia="Times New Roman" w:hAnsi="Cambria" w:cs="Times New Roman"/>
                <w:sz w:val="48"/>
                <w:szCs w:val="48"/>
              </w:rPr>
              <w:t>d to Implement Low Energy Read O</w:t>
            </w:r>
            <w:r w:rsidRPr="003F4D9C">
              <w:rPr>
                <w:rFonts w:ascii="Cambria" w:eastAsia="Times New Roman" w:hAnsi="Cambria" w:cs="Times New Roman"/>
                <w:sz w:val="48"/>
                <w:szCs w:val="48"/>
              </w:rPr>
              <w:t xml:space="preserve">perations, and Single Cycle Write After Read in </w:t>
            </w:r>
            <w:proofErr w:type="spellStart"/>
            <w:r w:rsidRPr="003F4D9C">
              <w:rPr>
                <w:rFonts w:ascii="Cambria" w:eastAsia="Times New Roman" w:hAnsi="Cambria" w:cs="Times New Roman"/>
                <w:sz w:val="48"/>
                <w:szCs w:val="48"/>
              </w:rPr>
              <w:t>Subthreshold</w:t>
            </w:r>
            <w:proofErr w:type="spellEnd"/>
            <w:r w:rsidRPr="003F4D9C">
              <w:rPr>
                <w:rFonts w:ascii="Cambria" w:eastAsia="Times New Roman" w:hAnsi="Cambria" w:cs="Times New Roman"/>
                <w:sz w:val="48"/>
                <w:szCs w:val="48"/>
              </w:rPr>
              <w:t xml:space="preserve"> SRAMs </w:t>
            </w:r>
          </w:p>
          <w:p w:rsidR="00F84576" w:rsidRDefault="00F84576" w:rsidP="00EC1132">
            <w:pPr>
              <w:pStyle w:val="NoSpacing"/>
              <w:jc w:val="center"/>
              <w:rPr>
                <w:rFonts w:ascii="Cambria" w:eastAsia="Times New Roman" w:hAnsi="Cambria" w:cs="Times New Roman"/>
                <w:sz w:val="48"/>
                <w:szCs w:val="48"/>
              </w:rPr>
            </w:pPr>
          </w:p>
          <w:p w:rsidR="00F84576" w:rsidRPr="00AB1E6F" w:rsidRDefault="00193FD2" w:rsidP="00EC1132">
            <w:pPr>
              <w:pStyle w:val="NoSpacing"/>
              <w:jc w:val="center"/>
              <w:rPr>
                <w:rFonts w:ascii="Trebuchet MS" w:eastAsia="Times New Roman" w:hAnsi="Trebuchet MS" w:cs="Times New Roman"/>
                <w:sz w:val="24"/>
                <w:szCs w:val="24"/>
              </w:rPr>
            </w:pPr>
            <w:r w:rsidRPr="00AB1E6F">
              <w:rPr>
                <w:rFonts w:ascii="Trebuchet MS" w:eastAsia="Times New Roman" w:hAnsi="Trebuchet MS" w:cs="Times New Roman"/>
                <w:sz w:val="24"/>
                <w:szCs w:val="24"/>
              </w:rPr>
              <w:t>b</w:t>
            </w:r>
            <w:r w:rsidR="00F84576" w:rsidRPr="00AB1E6F">
              <w:rPr>
                <w:rFonts w:ascii="Trebuchet MS" w:eastAsia="Times New Roman" w:hAnsi="Trebuchet MS" w:cs="Times New Roman"/>
                <w:sz w:val="24"/>
                <w:szCs w:val="24"/>
              </w:rPr>
              <w:t>y</w:t>
            </w:r>
          </w:p>
          <w:p w:rsidR="00EF5FE7" w:rsidRPr="00F84576" w:rsidRDefault="00EF5FE7" w:rsidP="00EC1132">
            <w:pPr>
              <w:pStyle w:val="NoSpacing"/>
              <w:jc w:val="center"/>
              <w:rPr>
                <w:rFonts w:ascii="Cambria" w:eastAsia="Times New Roman" w:hAnsi="Cambria" w:cs="Times New Roman"/>
                <w:sz w:val="32"/>
                <w:szCs w:val="32"/>
              </w:rPr>
            </w:pPr>
          </w:p>
          <w:p w:rsidR="00F84576" w:rsidRPr="00EF5FE7" w:rsidRDefault="00F84576" w:rsidP="00EC1132">
            <w:pPr>
              <w:pStyle w:val="NoSpacing"/>
              <w:jc w:val="center"/>
              <w:rPr>
                <w:rFonts w:ascii="Trebuchet MS" w:hAnsi="Trebuchet MS"/>
                <w:color w:val="000000"/>
                <w:sz w:val="24"/>
                <w:szCs w:val="24"/>
              </w:rPr>
            </w:pPr>
            <w:r w:rsidRPr="00EF5FE7">
              <w:rPr>
                <w:rFonts w:ascii="Trebuchet MS" w:hAnsi="Trebuchet MS"/>
                <w:color w:val="000000"/>
                <w:sz w:val="24"/>
                <w:szCs w:val="24"/>
              </w:rPr>
              <w:t>The Sub-threshold Team</w:t>
            </w:r>
          </w:p>
          <w:p w:rsidR="00A5662E" w:rsidRPr="00EF5FE7" w:rsidRDefault="00A5662E" w:rsidP="00EC1132">
            <w:pPr>
              <w:pStyle w:val="NoSpacing"/>
              <w:jc w:val="center"/>
              <w:rPr>
                <w:rFonts w:ascii="Trebuchet MS" w:hAnsi="Trebuchet MS"/>
                <w:color w:val="000000"/>
                <w:sz w:val="24"/>
                <w:szCs w:val="24"/>
              </w:rPr>
            </w:pPr>
            <w:r w:rsidRPr="00EF5FE7">
              <w:rPr>
                <w:rFonts w:ascii="Trebuchet MS" w:hAnsi="Trebuchet MS"/>
                <w:color w:val="000000"/>
                <w:sz w:val="24"/>
                <w:szCs w:val="24"/>
              </w:rPr>
              <w:t>Author</w:t>
            </w:r>
          </w:p>
          <w:p w:rsidR="00A5662E" w:rsidRPr="00EF5FE7" w:rsidRDefault="00A5662E" w:rsidP="00EC1132">
            <w:pPr>
              <w:pStyle w:val="NoSpacing"/>
              <w:jc w:val="center"/>
              <w:rPr>
                <w:rFonts w:ascii="Trebuchet MS" w:hAnsi="Trebuchet MS"/>
                <w:color w:val="000000"/>
                <w:sz w:val="24"/>
                <w:szCs w:val="24"/>
              </w:rPr>
            </w:pPr>
            <w:proofErr w:type="spellStart"/>
            <w:r w:rsidRPr="00EF5FE7">
              <w:rPr>
                <w:rFonts w:ascii="Trebuchet MS" w:hAnsi="Trebuchet MS"/>
                <w:color w:val="000000"/>
                <w:sz w:val="24"/>
                <w:szCs w:val="24"/>
              </w:rPr>
              <w:t>Arijit</w:t>
            </w:r>
            <w:proofErr w:type="spellEnd"/>
            <w:r w:rsidRPr="00EF5FE7">
              <w:rPr>
                <w:rFonts w:ascii="Trebuchet MS" w:hAnsi="Trebuchet MS"/>
                <w:color w:val="000000"/>
                <w:sz w:val="24"/>
                <w:szCs w:val="24"/>
              </w:rPr>
              <w:t xml:space="preserve"> Banerjee</w:t>
            </w:r>
          </w:p>
          <w:p w:rsidR="00F84576" w:rsidRPr="003F4D9C" w:rsidRDefault="00F84576" w:rsidP="00EC1132">
            <w:pPr>
              <w:pStyle w:val="NoSpacing"/>
              <w:jc w:val="center"/>
              <w:rPr>
                <w:rFonts w:ascii="Cambria" w:eastAsia="Times New Roman" w:hAnsi="Cambria" w:cs="Times New Roman"/>
                <w:sz w:val="48"/>
                <w:szCs w:val="48"/>
              </w:rPr>
            </w:pPr>
          </w:p>
        </w:tc>
      </w:tr>
    </w:tbl>
    <w:p w:rsidR="00D12649" w:rsidRDefault="00D12649"/>
    <w:p w:rsidR="00D12649" w:rsidRDefault="00D12649"/>
    <w:tbl>
      <w:tblPr>
        <w:tblpPr w:leftFromText="187" w:rightFromText="187" w:horzAnchor="margin" w:tblpXSpec="center" w:tblpYSpec="bottom"/>
        <w:tblW w:w="4000" w:type="pct"/>
        <w:tblLook w:val="04A0" w:firstRow="1" w:lastRow="0" w:firstColumn="1" w:lastColumn="0" w:noHBand="0" w:noVBand="1"/>
      </w:tblPr>
      <w:tblGrid>
        <w:gridCol w:w="7672"/>
      </w:tblGrid>
      <w:tr w:rsidR="00D12649">
        <w:tc>
          <w:tcPr>
            <w:tcW w:w="7672" w:type="dxa"/>
            <w:tcMar>
              <w:top w:w="216" w:type="dxa"/>
              <w:left w:w="115" w:type="dxa"/>
              <w:bottom w:w="216" w:type="dxa"/>
              <w:right w:w="115" w:type="dxa"/>
            </w:tcMar>
          </w:tcPr>
          <w:p w:rsidR="00D12649" w:rsidRPr="00D12649" w:rsidRDefault="00D12649">
            <w:pPr>
              <w:pStyle w:val="NoSpacing"/>
              <w:rPr>
                <w:color w:val="4F81BD"/>
              </w:rPr>
            </w:pPr>
          </w:p>
          <w:p w:rsidR="00D12649" w:rsidRPr="00D12649" w:rsidRDefault="00582A5C">
            <w:pPr>
              <w:pStyle w:val="NoSpacing"/>
              <w:rPr>
                <w:color w:val="4F81BD"/>
              </w:rPr>
            </w:pPr>
            <w:r>
              <w:rPr>
                <w:color w:val="4F81BD"/>
              </w:rPr>
              <w:t>10/5/2012</w:t>
            </w:r>
          </w:p>
          <w:p w:rsidR="00D12649" w:rsidRPr="00D12649" w:rsidRDefault="00D12649">
            <w:pPr>
              <w:pStyle w:val="NoSpacing"/>
              <w:rPr>
                <w:color w:val="4F81BD"/>
              </w:rPr>
            </w:pPr>
          </w:p>
        </w:tc>
      </w:tr>
    </w:tbl>
    <w:p w:rsidR="00D12649" w:rsidRDefault="00D12649"/>
    <w:p w:rsidR="00F605E1" w:rsidRPr="00AC79D5" w:rsidRDefault="00D12649" w:rsidP="00F605E1">
      <w:pPr>
        <w:rPr>
          <w:b/>
          <w:sz w:val="52"/>
          <w:szCs w:val="52"/>
        </w:rPr>
      </w:pPr>
      <w:r>
        <w:rPr>
          <w:b/>
          <w:sz w:val="52"/>
          <w:szCs w:val="52"/>
        </w:rPr>
        <w:br w:type="page"/>
      </w:r>
    </w:p>
    <w:p w:rsidR="00F605E1" w:rsidRPr="00F605E1" w:rsidRDefault="00F605E1" w:rsidP="00F605E1">
      <w:pPr>
        <w:pBdr>
          <w:top w:val="single" w:sz="6" w:space="1" w:color="auto"/>
          <w:bottom w:val="single" w:sz="6" w:space="1" w:color="auto"/>
        </w:pBdr>
        <w:jc w:val="right"/>
        <w:rPr>
          <w:rFonts w:ascii="Cambria" w:hAnsi="Cambria"/>
          <w:sz w:val="36"/>
          <w:szCs w:val="36"/>
        </w:rPr>
      </w:pPr>
      <w:r w:rsidRPr="00F605E1">
        <w:rPr>
          <w:rFonts w:ascii="Cambria" w:hAnsi="Cambria"/>
          <w:sz w:val="36"/>
          <w:szCs w:val="36"/>
        </w:rPr>
        <w:lastRenderedPageBreak/>
        <w:t>TABLE OF CONTENTS</w:t>
      </w:r>
    </w:p>
    <w:p w:rsidR="00F605E1" w:rsidRPr="00F605E1" w:rsidRDefault="00DB7EA8" w:rsidP="00F605E1">
      <w:pPr>
        <w:rPr>
          <w:rFonts w:ascii="Cambria" w:hAnsi="Cambria"/>
          <w:sz w:val="28"/>
          <w:szCs w:val="28"/>
        </w:rPr>
      </w:pPr>
      <w:r>
        <w:rPr>
          <w:rFonts w:ascii="Cambria" w:hAnsi="Cambria"/>
          <w:sz w:val="32"/>
          <w:szCs w:val="32"/>
        </w:rPr>
        <w:t xml:space="preserve">Chapter </w:t>
      </w:r>
      <w:proofErr w:type="gramStart"/>
      <w:r>
        <w:rPr>
          <w:rFonts w:ascii="Cambria" w:hAnsi="Cambria"/>
          <w:sz w:val="32"/>
          <w:szCs w:val="32"/>
        </w:rPr>
        <w:t xml:space="preserve">1  </w:t>
      </w:r>
      <w:r w:rsidRPr="00DB7EA8">
        <w:rPr>
          <w:rFonts w:ascii="Cambria" w:hAnsi="Cambria"/>
          <w:b/>
          <w:sz w:val="32"/>
          <w:szCs w:val="32"/>
        </w:rPr>
        <w:t>Summaries</w:t>
      </w:r>
      <w:proofErr w:type="gramEnd"/>
      <w:r w:rsidRPr="00DB7EA8">
        <w:rPr>
          <w:rFonts w:ascii="Cambria" w:hAnsi="Cambria"/>
          <w:b/>
          <w:sz w:val="32"/>
          <w:szCs w:val="32"/>
        </w:rPr>
        <w:t xml:space="preserve"> of Papers</w:t>
      </w:r>
      <w:r>
        <w:rPr>
          <w:rFonts w:ascii="Cambria" w:hAnsi="Cambria"/>
          <w:sz w:val="32"/>
          <w:szCs w:val="32"/>
        </w:rPr>
        <w:t xml:space="preserve"> </w:t>
      </w:r>
      <w:r w:rsidR="00F605E1" w:rsidRPr="00F605E1">
        <w:rPr>
          <w:rFonts w:ascii="Cambria" w:hAnsi="Cambria"/>
          <w:b/>
          <w:sz w:val="28"/>
          <w:szCs w:val="28"/>
        </w:rPr>
        <w:t>______________________</w:t>
      </w:r>
      <w:r>
        <w:rPr>
          <w:rFonts w:ascii="Cambria" w:hAnsi="Cambria"/>
          <w:sz w:val="28"/>
          <w:szCs w:val="28"/>
        </w:rPr>
        <w:t>_________</w:t>
      </w:r>
      <w:r w:rsidR="006A45C8">
        <w:rPr>
          <w:rFonts w:ascii="Cambria" w:hAnsi="Cambria"/>
          <w:sz w:val="28"/>
          <w:szCs w:val="28"/>
        </w:rPr>
        <w:t>__________</w:t>
      </w:r>
      <w:r w:rsidR="00F605E1" w:rsidRPr="00F605E1">
        <w:rPr>
          <w:rFonts w:ascii="Cambria" w:hAnsi="Cambria"/>
          <w:sz w:val="28"/>
          <w:szCs w:val="28"/>
        </w:rPr>
        <w:t>2</w:t>
      </w:r>
      <w:r w:rsidR="006A45C8">
        <w:rPr>
          <w:rFonts w:ascii="Cambria" w:hAnsi="Cambria"/>
          <w:sz w:val="28"/>
          <w:szCs w:val="28"/>
        </w:rPr>
        <w:t>-3</w:t>
      </w:r>
    </w:p>
    <w:p w:rsidR="00F605E1" w:rsidRPr="00F605E1" w:rsidRDefault="00F605E1" w:rsidP="00F605E1">
      <w:pPr>
        <w:rPr>
          <w:rFonts w:ascii="Cambria" w:hAnsi="Cambria"/>
        </w:rPr>
      </w:pPr>
      <w:r w:rsidRPr="00F605E1">
        <w:rPr>
          <w:rFonts w:ascii="Cambria" w:hAnsi="Cambria"/>
          <w:sz w:val="32"/>
          <w:szCs w:val="32"/>
        </w:rPr>
        <w:t xml:space="preserve">Chapter </w:t>
      </w:r>
      <w:proofErr w:type="gramStart"/>
      <w:r w:rsidRPr="00F605E1">
        <w:rPr>
          <w:rFonts w:ascii="Cambria" w:hAnsi="Cambria"/>
          <w:sz w:val="32"/>
          <w:szCs w:val="32"/>
        </w:rPr>
        <w:t xml:space="preserve">2  </w:t>
      </w:r>
      <w:r w:rsidR="00A447F9">
        <w:rPr>
          <w:rFonts w:ascii="Cambria" w:hAnsi="Cambria"/>
          <w:b/>
          <w:sz w:val="28"/>
          <w:szCs w:val="28"/>
        </w:rPr>
        <w:t>Printout</w:t>
      </w:r>
      <w:proofErr w:type="gramEnd"/>
      <w:r w:rsidR="00A447F9">
        <w:rPr>
          <w:rFonts w:ascii="Cambria" w:hAnsi="Cambria"/>
          <w:b/>
          <w:sz w:val="28"/>
          <w:szCs w:val="28"/>
        </w:rPr>
        <w:t xml:space="preserve"> of Simulation Results and Corresponding</w:t>
      </w:r>
      <w:r w:rsidR="008563EE">
        <w:rPr>
          <w:rFonts w:ascii="Cambria" w:hAnsi="Cambria"/>
          <w:b/>
          <w:sz w:val="28"/>
          <w:szCs w:val="28"/>
        </w:rPr>
        <w:t xml:space="preserve"> Schematic</w:t>
      </w:r>
      <w:r w:rsidR="00D06E7B">
        <w:rPr>
          <w:rFonts w:ascii="Cambria" w:hAnsi="Cambria"/>
          <w:b/>
          <w:sz w:val="28"/>
          <w:szCs w:val="28"/>
        </w:rPr>
        <w:t>s</w:t>
      </w:r>
      <w:r w:rsidR="00072AA2">
        <w:rPr>
          <w:rFonts w:ascii="Cambria" w:hAnsi="Cambria"/>
          <w:sz w:val="28"/>
          <w:szCs w:val="28"/>
        </w:rPr>
        <w:t>_________________________________________________________</w:t>
      </w:r>
      <w:r w:rsidR="00474661">
        <w:rPr>
          <w:rFonts w:ascii="Cambria" w:hAnsi="Cambria"/>
          <w:sz w:val="28"/>
          <w:szCs w:val="28"/>
        </w:rPr>
        <w:t>_</w:t>
      </w:r>
      <w:r w:rsidR="00072AA2">
        <w:rPr>
          <w:rFonts w:ascii="Cambria" w:hAnsi="Cambria"/>
          <w:sz w:val="28"/>
          <w:szCs w:val="28"/>
        </w:rPr>
        <w:t>___________</w:t>
      </w:r>
      <w:r w:rsidRPr="00F605E1">
        <w:rPr>
          <w:rFonts w:ascii="Cambria" w:hAnsi="Cambria"/>
          <w:sz w:val="28"/>
          <w:szCs w:val="28"/>
        </w:rPr>
        <w:t>_4</w:t>
      </w:r>
      <w:r w:rsidR="00D955C7">
        <w:rPr>
          <w:rFonts w:ascii="Cambria" w:hAnsi="Cambria"/>
          <w:sz w:val="28"/>
          <w:szCs w:val="28"/>
        </w:rPr>
        <w:t>-10</w:t>
      </w:r>
    </w:p>
    <w:p w:rsidR="00F605E1" w:rsidRDefault="00F605E1" w:rsidP="00F605E1">
      <w:pPr>
        <w:rPr>
          <w:rFonts w:ascii="Cambria" w:hAnsi="Cambria"/>
          <w:sz w:val="28"/>
          <w:szCs w:val="28"/>
        </w:rPr>
      </w:pPr>
      <w:r w:rsidRPr="00F605E1">
        <w:rPr>
          <w:rFonts w:ascii="Cambria" w:hAnsi="Cambria"/>
          <w:sz w:val="32"/>
          <w:szCs w:val="32"/>
        </w:rPr>
        <w:t xml:space="preserve">Chapter </w:t>
      </w:r>
      <w:proofErr w:type="gramStart"/>
      <w:r w:rsidRPr="00F605E1">
        <w:rPr>
          <w:rFonts w:ascii="Cambria" w:hAnsi="Cambria"/>
          <w:sz w:val="32"/>
          <w:szCs w:val="32"/>
        </w:rPr>
        <w:t xml:space="preserve">3  </w:t>
      </w:r>
      <w:r w:rsidR="00A16324">
        <w:rPr>
          <w:rFonts w:ascii="Cambria" w:hAnsi="Cambria"/>
          <w:b/>
          <w:sz w:val="28"/>
          <w:szCs w:val="28"/>
        </w:rPr>
        <w:t>Group’s</w:t>
      </w:r>
      <w:proofErr w:type="gramEnd"/>
      <w:r w:rsidR="00A16324">
        <w:rPr>
          <w:rFonts w:ascii="Cambria" w:hAnsi="Cambria"/>
          <w:b/>
          <w:sz w:val="28"/>
          <w:szCs w:val="28"/>
        </w:rPr>
        <w:t xml:space="preserve"> Progress</w:t>
      </w:r>
      <w:r w:rsidR="00D13674">
        <w:rPr>
          <w:rFonts w:ascii="Cambria" w:hAnsi="Cambria"/>
          <w:b/>
          <w:sz w:val="28"/>
          <w:szCs w:val="28"/>
        </w:rPr>
        <w:t xml:space="preserve"> and Remaining Tasks</w:t>
      </w:r>
      <w:r w:rsidRPr="00F605E1">
        <w:rPr>
          <w:rFonts w:ascii="Cambria" w:hAnsi="Cambria"/>
          <w:sz w:val="28"/>
          <w:szCs w:val="28"/>
        </w:rPr>
        <w:t>__________________</w:t>
      </w:r>
      <w:r w:rsidR="00CF202C">
        <w:rPr>
          <w:rFonts w:ascii="Cambria" w:hAnsi="Cambria"/>
          <w:sz w:val="28"/>
          <w:szCs w:val="28"/>
        </w:rPr>
        <w:t>_</w:t>
      </w:r>
      <w:r w:rsidRPr="00F605E1">
        <w:rPr>
          <w:rFonts w:ascii="Cambria" w:hAnsi="Cambria"/>
          <w:sz w:val="28"/>
          <w:szCs w:val="28"/>
        </w:rPr>
        <w:t>_</w:t>
      </w:r>
      <w:r w:rsidR="00960B30">
        <w:rPr>
          <w:rFonts w:ascii="Cambria" w:hAnsi="Cambria"/>
          <w:sz w:val="28"/>
          <w:szCs w:val="28"/>
        </w:rPr>
        <w:t>____11</w:t>
      </w:r>
    </w:p>
    <w:p w:rsidR="009C15E9" w:rsidRDefault="009C15E9" w:rsidP="009C15E9">
      <w:pPr>
        <w:rPr>
          <w:rFonts w:ascii="Cambria" w:hAnsi="Cambria"/>
          <w:sz w:val="28"/>
          <w:szCs w:val="28"/>
        </w:rPr>
      </w:pPr>
      <w:r w:rsidRPr="00F605E1">
        <w:rPr>
          <w:rFonts w:ascii="Cambria" w:hAnsi="Cambria"/>
          <w:sz w:val="32"/>
          <w:szCs w:val="32"/>
        </w:rPr>
        <w:t xml:space="preserve">Chapter </w:t>
      </w:r>
      <w:proofErr w:type="gramStart"/>
      <w:r>
        <w:rPr>
          <w:rFonts w:ascii="Cambria" w:hAnsi="Cambria"/>
          <w:sz w:val="32"/>
          <w:szCs w:val="32"/>
        </w:rPr>
        <w:t>4</w:t>
      </w:r>
      <w:r w:rsidRPr="00F605E1">
        <w:rPr>
          <w:rFonts w:ascii="Cambria" w:hAnsi="Cambria"/>
          <w:sz w:val="32"/>
          <w:szCs w:val="32"/>
        </w:rPr>
        <w:t xml:space="preserve">  </w:t>
      </w:r>
      <w:r>
        <w:rPr>
          <w:rFonts w:ascii="Cambria" w:hAnsi="Cambria"/>
          <w:b/>
          <w:sz w:val="28"/>
          <w:szCs w:val="28"/>
        </w:rPr>
        <w:t>References</w:t>
      </w:r>
      <w:proofErr w:type="gramEnd"/>
      <w:r w:rsidRPr="00F605E1">
        <w:rPr>
          <w:rFonts w:ascii="Cambria" w:hAnsi="Cambria"/>
          <w:sz w:val="28"/>
          <w:szCs w:val="28"/>
        </w:rPr>
        <w:t>__</w:t>
      </w:r>
      <w:r>
        <w:rPr>
          <w:rFonts w:ascii="Cambria" w:hAnsi="Cambria"/>
          <w:sz w:val="28"/>
          <w:szCs w:val="28"/>
        </w:rPr>
        <w:t>___________________________________</w:t>
      </w:r>
      <w:r w:rsidRPr="00F605E1">
        <w:rPr>
          <w:rFonts w:ascii="Cambria" w:hAnsi="Cambria"/>
          <w:sz w:val="28"/>
          <w:szCs w:val="28"/>
        </w:rPr>
        <w:t>________________</w:t>
      </w:r>
      <w:r>
        <w:rPr>
          <w:rFonts w:ascii="Cambria" w:hAnsi="Cambria"/>
          <w:sz w:val="28"/>
          <w:szCs w:val="28"/>
        </w:rPr>
        <w:t>_</w:t>
      </w:r>
      <w:r w:rsidRPr="00F605E1">
        <w:rPr>
          <w:rFonts w:ascii="Cambria" w:hAnsi="Cambria"/>
          <w:sz w:val="28"/>
          <w:szCs w:val="28"/>
        </w:rPr>
        <w:t>_</w:t>
      </w:r>
      <w:r>
        <w:rPr>
          <w:rFonts w:ascii="Cambria" w:hAnsi="Cambria"/>
          <w:sz w:val="28"/>
          <w:szCs w:val="28"/>
        </w:rPr>
        <w:t>____12</w:t>
      </w:r>
    </w:p>
    <w:p w:rsidR="009C15E9" w:rsidRPr="00F605E1" w:rsidRDefault="009C15E9" w:rsidP="00F605E1">
      <w:pPr>
        <w:rPr>
          <w:rFonts w:ascii="Cambria" w:hAnsi="Cambria"/>
          <w:sz w:val="28"/>
          <w:szCs w:val="28"/>
        </w:rPr>
      </w:pPr>
    </w:p>
    <w:p w:rsidR="00F605E1" w:rsidRPr="00F605E1" w:rsidRDefault="00F605E1" w:rsidP="00F605E1">
      <w:pPr>
        <w:rPr>
          <w:rFonts w:ascii="Cambria" w:hAnsi="Cambria"/>
        </w:rPr>
      </w:pPr>
    </w:p>
    <w:p w:rsidR="00F605E1" w:rsidRPr="00F605E1" w:rsidRDefault="00F605E1" w:rsidP="00F605E1">
      <w:pPr>
        <w:rPr>
          <w:rFonts w:ascii="Cambria" w:hAnsi="Cambria"/>
          <w:sz w:val="28"/>
          <w:szCs w:val="28"/>
        </w:rPr>
      </w:pPr>
    </w:p>
    <w:p w:rsidR="00F605E1" w:rsidRPr="00F605E1" w:rsidRDefault="00F605E1" w:rsidP="00F605E1">
      <w:pPr>
        <w:rPr>
          <w:rFonts w:ascii="Cambria" w:hAnsi="Cambria"/>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EF3DCB">
      <w:pPr>
        <w:rPr>
          <w:u w:val="single"/>
        </w:rPr>
      </w:pPr>
    </w:p>
    <w:p w:rsidR="00EF3DCB" w:rsidRDefault="00AC470E">
      <w:pPr>
        <w:rPr>
          <w:u w:val="single"/>
        </w:rPr>
      </w:pPr>
      <w:r>
        <w:rPr>
          <w:rFonts w:ascii="Cambria" w:hAnsi="Cambria"/>
          <w:sz w:val="32"/>
          <w:szCs w:val="32"/>
        </w:rPr>
        <w:t xml:space="preserve">Chapter 1  </w:t>
      </w:r>
    </w:p>
    <w:p w:rsidR="00CB7E7F" w:rsidRPr="00CB7E7F" w:rsidRDefault="00CB7E7F" w:rsidP="00CB7E7F">
      <w:pPr>
        <w:pBdr>
          <w:bottom w:val="single" w:sz="12" w:space="1" w:color="auto"/>
        </w:pBdr>
        <w:rPr>
          <w:rFonts w:ascii="Cambria" w:hAnsi="Cambria"/>
          <w:b/>
          <w:sz w:val="28"/>
          <w:szCs w:val="28"/>
        </w:rPr>
      </w:pPr>
      <w:r w:rsidRPr="00CB7E7F">
        <w:rPr>
          <w:rFonts w:ascii="Cambria" w:hAnsi="Cambria"/>
          <w:b/>
          <w:sz w:val="28"/>
          <w:szCs w:val="28"/>
        </w:rPr>
        <w:t xml:space="preserve">Summaries of Papers </w:t>
      </w:r>
    </w:p>
    <w:p w:rsidR="00DD25CD" w:rsidRDefault="00DD25CD">
      <w:pPr>
        <w:jc w:val="both"/>
      </w:pPr>
      <w:r>
        <w:tab/>
        <w:t xml:space="preserve">In [1], the authors proposed a novel 10T differential SRAM </w:t>
      </w:r>
      <w:proofErr w:type="spellStart"/>
      <w:r>
        <w:t>bitcell</w:t>
      </w:r>
      <w:proofErr w:type="spellEnd"/>
      <w:r>
        <w:t xml:space="preserve"> which is based on Schmitt Trigger (ST). They claim to have achieved 1.56X higher read static noise </w:t>
      </w:r>
      <w:proofErr w:type="gramStart"/>
      <w:r>
        <w:t>margin(</w:t>
      </w:r>
      <w:proofErr w:type="gramEnd"/>
      <w:r>
        <w:t xml:space="preserve">RSNM) at the supply voltage of 400 mV compared to the conventional 6T </w:t>
      </w:r>
      <w:proofErr w:type="spellStart"/>
      <w:r>
        <w:t>bitcell</w:t>
      </w:r>
      <w:proofErr w:type="spellEnd"/>
      <w:r>
        <w:t xml:space="preserve">. As the ST bit cell is of differential type incorporating the same within a 6T </w:t>
      </w:r>
      <w:proofErr w:type="spellStart"/>
      <w:r>
        <w:t>bitcell</w:t>
      </w:r>
      <w:proofErr w:type="spellEnd"/>
      <w:r>
        <w:t xml:space="preserve"> based SRAM does not require architectural changes. They also claim that with </w:t>
      </w:r>
      <w:proofErr w:type="spellStart"/>
      <w:r>
        <w:t>iso</w:t>
      </w:r>
      <w:proofErr w:type="spellEnd"/>
      <w:r>
        <w:t xml:space="preserve">-area and </w:t>
      </w:r>
      <w:proofErr w:type="spellStart"/>
      <w:r>
        <w:t>iso</w:t>
      </w:r>
      <w:proofErr w:type="spellEnd"/>
      <w:r>
        <w:t xml:space="preserve">-read failure </w:t>
      </w:r>
      <w:proofErr w:type="gramStart"/>
      <w:r>
        <w:t>probability  the</w:t>
      </w:r>
      <w:proofErr w:type="gramEnd"/>
      <w:r>
        <w:t xml:space="preserve"> novel ST bit-cell operates at supply voltage of 175mV with 18% reduction in leakage and 50% reduction in read and write power compared to the conventional 6T </w:t>
      </w:r>
      <w:proofErr w:type="spellStart"/>
      <w:r>
        <w:t>bitcell</w:t>
      </w:r>
      <w:proofErr w:type="spellEnd"/>
      <w:r>
        <w:t>. The</w:t>
      </w:r>
      <w:r w:rsidR="008C6A7A">
        <w:t>y</w:t>
      </w:r>
      <w:r>
        <w:t xml:space="preserve"> showed simulation data of the ST </w:t>
      </w:r>
      <w:proofErr w:type="spellStart"/>
      <w:proofErr w:type="gramStart"/>
      <w:r>
        <w:t>bitcell</w:t>
      </w:r>
      <w:proofErr w:type="spellEnd"/>
      <w:proofErr w:type="gramEnd"/>
      <w:r>
        <w:t xml:space="preserve"> having data retention voltage as low as 150mV.</w:t>
      </w:r>
    </w:p>
    <w:p w:rsidR="00DD25CD" w:rsidRDefault="00DD25CD">
      <w:pPr>
        <w:jc w:val="both"/>
      </w:pPr>
      <w:r>
        <w:tab/>
        <w:t xml:space="preserve">In [2], the authors proposed a differential 10T </w:t>
      </w:r>
      <w:proofErr w:type="spellStart"/>
      <w:r>
        <w:t>bitcell</w:t>
      </w:r>
      <w:proofErr w:type="spellEnd"/>
      <w:r>
        <w:t xml:space="preserve"> which separates the read and write operation effectively and reportedly to be achieved higher cell stability. The </w:t>
      </w:r>
      <w:proofErr w:type="spellStart"/>
      <w:r>
        <w:t>bitcell</w:t>
      </w:r>
      <w:proofErr w:type="spellEnd"/>
      <w:r>
        <w:t xml:space="preserve"> also provides superior bit-interleaving structures to achieve soft-error tolerance with conventional Error Correcting Codes (ECC).They claimed to be had incorporated DCVSL scheme to compensate </w:t>
      </w:r>
      <w:proofErr w:type="spellStart"/>
      <w:r>
        <w:t>bitline</w:t>
      </w:r>
      <w:proofErr w:type="spellEnd"/>
      <w:r>
        <w:t xml:space="preserve"> leakage with improved </w:t>
      </w:r>
      <w:proofErr w:type="spellStart"/>
      <w:r>
        <w:t>bitline</w:t>
      </w:r>
      <w:proofErr w:type="spellEnd"/>
      <w:r>
        <w:t xml:space="preserve"> swing. They verified their </w:t>
      </w:r>
      <w:proofErr w:type="spellStart"/>
      <w:r>
        <w:t>bitcell</w:t>
      </w:r>
      <w:proofErr w:type="spellEnd"/>
      <w:r>
        <w:t xml:space="preserve"> by fabricating 32KB array of the 10T </w:t>
      </w:r>
      <w:proofErr w:type="spellStart"/>
      <w:r>
        <w:t>bitcell</w:t>
      </w:r>
      <w:proofErr w:type="spellEnd"/>
      <w:r>
        <w:t xml:space="preserve"> in 90nm CMOS technology which claimed to be operational at 160mV. </w:t>
      </w:r>
    </w:p>
    <w:p w:rsidR="00DD25CD" w:rsidRDefault="000858C6">
      <w:pPr>
        <w:jc w:val="both"/>
      </w:pPr>
      <w:r>
        <w:tab/>
        <w:t>In [3], the authors proposed</w:t>
      </w:r>
      <w:r w:rsidR="00DD25CD">
        <w:t xml:space="preserve"> various circuit techniques for designing robust high-density sub-threshold SRAMs. Their methods includes improving read margin by decoupled cells, utilizing the reverse short channel effect RSCE to improve write margin, eliminating data dependent </w:t>
      </w:r>
      <w:proofErr w:type="spellStart"/>
      <w:r w:rsidR="00DD25CD">
        <w:t>bitline</w:t>
      </w:r>
      <w:proofErr w:type="spellEnd"/>
      <w:r w:rsidR="00DD25CD">
        <w:t xml:space="preserve"> leakage to enable longer </w:t>
      </w:r>
      <w:proofErr w:type="spellStart"/>
      <w:r w:rsidR="00DD25CD">
        <w:t>bitlines</w:t>
      </w:r>
      <w:proofErr w:type="spellEnd"/>
      <w:r w:rsidR="00DD25CD">
        <w:t xml:space="preserve">, virtual ground replica scheme for the improvement of </w:t>
      </w:r>
      <w:proofErr w:type="spellStart"/>
      <w:r w:rsidR="00DD25CD">
        <w:t>bitline</w:t>
      </w:r>
      <w:proofErr w:type="spellEnd"/>
      <w:r w:rsidR="00DD25CD">
        <w:t xml:space="preserve"> sensing margin, write back scheme for preservation of data during write, and using sub-threshold logical effort to size gates optimally.</w:t>
      </w:r>
    </w:p>
    <w:p w:rsidR="00DD25CD" w:rsidRDefault="00DD25CD">
      <w:pPr>
        <w:jc w:val="both"/>
      </w:pPr>
      <w:r>
        <w:tab/>
        <w:t xml:space="preserve">In [4], the authors examined the impact of process variation for low voltage operations in 65nm sub-threshold SRAMs. They compare various </w:t>
      </w:r>
      <w:proofErr w:type="spellStart"/>
      <w:r>
        <w:t>bitcells</w:t>
      </w:r>
      <w:proofErr w:type="spellEnd"/>
      <w:r>
        <w:t>' pros and cons and in</w:t>
      </w:r>
      <w:r w:rsidR="0029649C">
        <w:t xml:space="preserve">troduce a 10T </w:t>
      </w:r>
      <w:proofErr w:type="spellStart"/>
      <w:r w:rsidR="0029649C">
        <w:t>bitcell</w:t>
      </w:r>
      <w:proofErr w:type="spellEnd"/>
      <w:r w:rsidR="0029649C">
        <w:t xml:space="preserve"> with 4T rea</w:t>
      </w:r>
      <w:r>
        <w:t>d buffer for improved leakage. The usage of M10 in the bit cell drops the leakage overhead to 16% than</w:t>
      </w:r>
      <w:r w:rsidR="00D83061">
        <w:t xml:space="preserve"> that of a 9T cell compare to a</w:t>
      </w:r>
      <w:r>
        <w:t xml:space="preserve"> 6T </w:t>
      </w:r>
      <w:proofErr w:type="spellStart"/>
      <w:r>
        <w:t>bitcell</w:t>
      </w:r>
      <w:proofErr w:type="spellEnd"/>
      <w:r>
        <w:t xml:space="preserve"> with </w:t>
      </w:r>
      <w:proofErr w:type="spellStart"/>
      <w:r>
        <w:t>iso</w:t>
      </w:r>
      <w:proofErr w:type="spellEnd"/>
      <w:r>
        <w:t xml:space="preserve">-VDD. They reported that the 10T at 300mV consumes 2.25X less leakage than that of the 6T </w:t>
      </w:r>
      <w:proofErr w:type="spellStart"/>
      <w:r>
        <w:t>bitcell</w:t>
      </w:r>
      <w:proofErr w:type="spellEnd"/>
      <w:r>
        <w:t xml:space="preserve"> operating at 0.6V. This SRAM functions below 400mV. At 400mV the power consumption is 3.28uW with working frequency of </w:t>
      </w:r>
      <w:proofErr w:type="gramStart"/>
      <w:r>
        <w:t>475KHz</w:t>
      </w:r>
      <w:proofErr w:type="gramEnd"/>
      <w:r>
        <w:t xml:space="preserve"> maximum. They </w:t>
      </w:r>
      <w:r w:rsidR="00B20A73">
        <w:t xml:space="preserve">also </w:t>
      </w:r>
      <w:r>
        <w:t>reported</w:t>
      </w:r>
      <w:r w:rsidR="00913691">
        <w:t xml:space="preserve"> that the</w:t>
      </w:r>
      <w:r>
        <w:t xml:space="preserve"> leakage power being reduced by </w:t>
      </w:r>
      <w:r w:rsidR="00331CC5">
        <w:t>VDD</w:t>
      </w:r>
      <w:r>
        <w:t xml:space="preserve"> scaling was 2.4X and 3.8X relative to 0.6V operation at 0.4V and 0.3V respectively.</w:t>
      </w:r>
    </w:p>
    <w:p w:rsidR="00DD25CD" w:rsidRDefault="00DD25CD">
      <w:pPr>
        <w:jc w:val="both"/>
      </w:pPr>
      <w:r>
        <w:tab/>
        <w:t xml:space="preserve">In [5], the authors proposed a 9T SRAM </w:t>
      </w:r>
      <w:proofErr w:type="spellStart"/>
      <w:r>
        <w:t>bitcell</w:t>
      </w:r>
      <w:proofErr w:type="spellEnd"/>
      <w:r>
        <w:t xml:space="preserve"> for low voltage and energy constrained applications. They claims that the 9T </w:t>
      </w:r>
      <w:proofErr w:type="spellStart"/>
      <w:r>
        <w:t>bitcell</w:t>
      </w:r>
      <w:proofErr w:type="spellEnd"/>
      <w:r>
        <w:t xml:space="preserve"> at 32nm PTM technology node shows 37% </w:t>
      </w:r>
      <w:r w:rsidR="0002736E">
        <w:t xml:space="preserve">improvement </w:t>
      </w:r>
      <w:r>
        <w:t xml:space="preserve">in the read stability compared to 6T </w:t>
      </w:r>
      <w:proofErr w:type="spellStart"/>
      <w:r>
        <w:t>bitcell</w:t>
      </w:r>
      <w:proofErr w:type="spellEnd"/>
      <w:r>
        <w:t xml:space="preserve"> at 0.9V. The standard deviation of Read SNM (RSNM) for the proposed </w:t>
      </w:r>
      <w:proofErr w:type="spellStart"/>
      <w:r>
        <w:t>bitcell</w:t>
      </w:r>
      <w:proofErr w:type="spellEnd"/>
      <w:r>
        <w:t xml:space="preserve"> is claimed to be 54% lesser than that of the 6T at 0.9V. They also claimed that at the </w:t>
      </w:r>
      <w:r>
        <w:lastRenderedPageBreak/>
        <w:t xml:space="preserve">supply voltage of 400mV the mean of the RSNM is 23% higher than that of the standard 6T </w:t>
      </w:r>
      <w:proofErr w:type="spellStart"/>
      <w:r>
        <w:t>bitcell</w:t>
      </w:r>
      <w:proofErr w:type="spellEnd"/>
      <w:r>
        <w:t xml:space="preserve">. The proposed design allows </w:t>
      </w:r>
      <w:proofErr w:type="gramStart"/>
      <w:r>
        <w:t>to optimize</w:t>
      </w:r>
      <w:proofErr w:type="gramEnd"/>
      <w:r>
        <w:t xml:space="preserve"> RSNM and WSNM, and writing speed separately avoiding the conflicting sizing in the 6T scenario.</w:t>
      </w:r>
    </w:p>
    <w:p w:rsidR="00DD25CD" w:rsidRDefault="00DD25CD">
      <w:r>
        <w:tab/>
        <w:t>In [6], the authors proposed a read-assist circuit in 65nm CMOS technology which reduces the access time significantly and improves the SRAM cell stability. In this circuitry they used a set of per-amplifiers in bit-lines to amplify the swing</w:t>
      </w:r>
      <w:r w:rsidR="001E3C31">
        <w:t xml:space="preserve"> ahead of time to evaluate earlier</w:t>
      </w:r>
      <w:r>
        <w:t xml:space="preserve"> with 3x reduction of </w:t>
      </w:r>
      <w:proofErr w:type="spellStart"/>
      <w:r>
        <w:t>bitline</w:t>
      </w:r>
      <w:proofErr w:type="spellEnd"/>
      <w:r>
        <w:t xml:space="preserve"> actual swing. They compared there </w:t>
      </w:r>
      <w:proofErr w:type="gramStart"/>
      <w:r>
        <w:t>proposed  scheme</w:t>
      </w:r>
      <w:proofErr w:type="gramEnd"/>
      <w:r>
        <w:t xml:space="preserve"> to conventional circuitry and other state of art design which showed a speed improvement of 53% and  power reduction of 21.3%. They also claimed that the proposed scheme enabled them to reduce the cell supply voltage by 227mV to operate at 560mV with the same evaluation time of 700 ps.</w:t>
      </w:r>
    </w:p>
    <w:p w:rsidR="00DD25CD" w:rsidRDefault="00DD25CD"/>
    <w:p w:rsidR="00742AFA" w:rsidRDefault="00742AFA"/>
    <w:p w:rsidR="00742AFA" w:rsidRDefault="00742AFA"/>
    <w:p w:rsidR="00742AFA" w:rsidRDefault="00742AFA"/>
    <w:p w:rsidR="00742AFA" w:rsidRDefault="00742AFA"/>
    <w:p w:rsidR="00742AFA" w:rsidRDefault="00742AFA"/>
    <w:p w:rsidR="00742AFA" w:rsidRDefault="00742AFA"/>
    <w:p w:rsidR="00742AFA" w:rsidRDefault="00742AFA"/>
    <w:p w:rsidR="00742AFA" w:rsidRDefault="00742AFA"/>
    <w:p w:rsidR="00D05767" w:rsidRDefault="00D05767"/>
    <w:p w:rsidR="00742AFA" w:rsidRDefault="00742AFA"/>
    <w:p w:rsidR="00742AFA" w:rsidRDefault="00742AFA"/>
    <w:p w:rsidR="00742AFA" w:rsidRDefault="00742AFA"/>
    <w:p w:rsidR="00742AFA" w:rsidRDefault="00742AFA"/>
    <w:p w:rsidR="00742AFA" w:rsidRDefault="00742AFA"/>
    <w:p w:rsidR="00742AFA" w:rsidRDefault="00742AFA"/>
    <w:p w:rsidR="00742AFA" w:rsidRDefault="00742AFA"/>
    <w:p w:rsidR="007D1AA3" w:rsidRDefault="007D1AA3"/>
    <w:p w:rsidR="00742AFA" w:rsidRDefault="00742AFA" w:rsidP="00742AFA">
      <w:pPr>
        <w:rPr>
          <w:u w:val="single"/>
        </w:rPr>
      </w:pPr>
      <w:r>
        <w:rPr>
          <w:rFonts w:ascii="Cambria" w:hAnsi="Cambria"/>
          <w:sz w:val="32"/>
          <w:szCs w:val="32"/>
        </w:rPr>
        <w:lastRenderedPageBreak/>
        <w:t xml:space="preserve">Chapter </w:t>
      </w:r>
      <w:r w:rsidR="00CE40F7">
        <w:rPr>
          <w:rFonts w:ascii="Cambria" w:hAnsi="Cambria"/>
          <w:sz w:val="32"/>
          <w:szCs w:val="32"/>
        </w:rPr>
        <w:t>2</w:t>
      </w:r>
      <w:r>
        <w:rPr>
          <w:rFonts w:ascii="Cambria" w:hAnsi="Cambria"/>
          <w:sz w:val="32"/>
          <w:szCs w:val="32"/>
        </w:rPr>
        <w:t xml:space="preserve">  </w:t>
      </w:r>
    </w:p>
    <w:p w:rsidR="00742AFA" w:rsidRPr="00CB7E7F" w:rsidRDefault="00FA0812" w:rsidP="00742AFA">
      <w:pPr>
        <w:pBdr>
          <w:bottom w:val="single" w:sz="12" w:space="1" w:color="auto"/>
        </w:pBdr>
        <w:rPr>
          <w:rFonts w:ascii="Cambria" w:hAnsi="Cambria"/>
          <w:b/>
          <w:sz w:val="28"/>
          <w:szCs w:val="28"/>
        </w:rPr>
      </w:pPr>
      <w:r>
        <w:rPr>
          <w:rFonts w:ascii="Cambria" w:hAnsi="Cambria"/>
          <w:b/>
          <w:sz w:val="28"/>
          <w:szCs w:val="28"/>
        </w:rPr>
        <w:t>Printout of Simulation Results and Corresponding Schematics</w:t>
      </w:r>
      <w:r w:rsidR="00742AFA" w:rsidRPr="00CB7E7F">
        <w:rPr>
          <w:rFonts w:ascii="Cambria" w:hAnsi="Cambria"/>
          <w:b/>
          <w:sz w:val="28"/>
          <w:szCs w:val="28"/>
        </w:rPr>
        <w:t xml:space="preserve"> </w:t>
      </w:r>
    </w:p>
    <w:p w:rsidR="00DD25CD" w:rsidRDefault="00DD25CD">
      <w:r>
        <w:t>Observations</w:t>
      </w:r>
      <w:r w:rsidR="007C1B7C">
        <w:t xml:space="preserve"> from the Papers</w:t>
      </w:r>
      <w:r>
        <w:t>:</w:t>
      </w:r>
    </w:p>
    <w:p w:rsidR="00DD25CD" w:rsidRDefault="00DD25CD">
      <w:pPr>
        <w:jc w:val="both"/>
      </w:pPr>
      <w:r>
        <w:tab/>
        <w:t xml:space="preserve">In [1], from the Fig. 8 (a) of the [1] shows that the Monte Carlo (MC) data indicating “mean-3sigma” RSNM of ST is lying in between 50mV to 0mV and “mean – 3sigma” hold signal to noise margin (HSNM) lying nearby 100mV. On the other hand in Fig. 9 the “mean + 3sigma” </w:t>
      </w:r>
      <w:proofErr w:type="spellStart"/>
      <w:r>
        <w:t>Vmin</w:t>
      </w:r>
      <w:proofErr w:type="spellEnd"/>
      <w:r>
        <w:t xml:space="preserve">   looks like lying in between 350-400mV. Hence, from the process variation and robustness standpoint with 400mV of supply voltage the 3sigma worse case </w:t>
      </w:r>
      <w:proofErr w:type="gramStart"/>
      <w:r>
        <w:t>values indicates</w:t>
      </w:r>
      <w:proofErr w:type="gramEnd"/>
      <w:r>
        <w:t xml:space="preserve"> that there may be failures in the </w:t>
      </w:r>
      <w:proofErr w:type="spellStart"/>
      <w:r>
        <w:t>bitcell</w:t>
      </w:r>
      <w:proofErr w:type="spellEnd"/>
      <w:r>
        <w:t xml:space="preserve"> in below 350mV</w:t>
      </w:r>
      <w:r w:rsidR="007E2959">
        <w:t xml:space="preserve"> if fabricated</w:t>
      </w:r>
      <w:r>
        <w:t xml:space="preserve">. </w:t>
      </w:r>
    </w:p>
    <w:p w:rsidR="00DD25CD" w:rsidRDefault="00DD25CD">
      <w:pPr>
        <w:jc w:val="both"/>
      </w:pPr>
      <w:r>
        <w:tab/>
        <w:t>In [2], from the Fig. 7 it can be seen that the 3sigma worst case Read and Hold SNM is not robust at all. With 300 mV supply the “mean – 3sigma” WSNM is around 100mV, and “mean + 3sigma” Hold SNM is about 85mV, and “mean – 3sigma” read SNM becomes negative.</w:t>
      </w:r>
    </w:p>
    <w:p w:rsidR="00DD25CD" w:rsidRDefault="00DD25CD">
      <w:pPr>
        <w:jc w:val="both"/>
      </w:pPr>
      <w:r>
        <w:tab/>
        <w:t xml:space="preserve">In [5], the Fig. 6, 7, 8 and 9 shows RSNM distributions of the proposed </w:t>
      </w:r>
      <w:proofErr w:type="spellStart"/>
      <w:r>
        <w:t>bitcell</w:t>
      </w:r>
      <w:proofErr w:type="spellEnd"/>
      <w:r>
        <w:t xml:space="preserve"> versus standard 6T </w:t>
      </w:r>
      <w:proofErr w:type="spellStart"/>
      <w:r>
        <w:t>bitcell</w:t>
      </w:r>
      <w:proofErr w:type="spellEnd"/>
      <w:r>
        <w:t>. It can be referred from the plots that at 400mV the worst case “mean – 3Sigma” RSNM is around 20mV, and due to this fact there can be read failures from the standpoint of process variation.</w:t>
      </w:r>
    </w:p>
    <w:p w:rsidR="005C10A0" w:rsidRPr="005C10A0" w:rsidRDefault="005C10A0">
      <w:pPr>
        <w:jc w:val="both"/>
      </w:pPr>
      <w:r>
        <w:tab/>
        <w:t xml:space="preserve">Our findings from studying the papers is that below 400mV most of the published SRAM </w:t>
      </w:r>
      <w:proofErr w:type="spellStart"/>
      <w:r>
        <w:t>bitcells</w:t>
      </w:r>
      <w:proofErr w:type="spellEnd"/>
      <w:r>
        <w:t xml:space="preserve"> are having issues with robustness standpoint limited by  the </w:t>
      </w:r>
      <w:proofErr w:type="spellStart"/>
      <w:r>
        <w:t>bitcells</w:t>
      </w:r>
      <w:proofErr w:type="spellEnd"/>
      <w:r>
        <w:t>’ worse case RSNM, VDRV, RSNM, HSNM, VMIN perspective</w:t>
      </w:r>
      <w:r w:rsidR="00D76F9D">
        <w:t xml:space="preserve"> which may lead to failures if the supply voltage is lowered further</w:t>
      </w:r>
      <w:r w:rsidR="00D44F45">
        <w:t xml:space="preserve"> in </w:t>
      </w:r>
      <w:proofErr w:type="spellStart"/>
      <w:r w:rsidR="00D44F45">
        <w:t>subthreshold</w:t>
      </w:r>
      <w:proofErr w:type="spellEnd"/>
      <w:r w:rsidR="00D44F45">
        <w:t xml:space="preserve"> domain</w:t>
      </w:r>
      <w:r w:rsidR="00D76F9D">
        <w:t>.</w:t>
      </w:r>
      <w:r w:rsidR="00DE055A">
        <w:t xml:space="preserve"> Hence, lowering dynamic energy consumption in SRAM by lowering supply voltage is been hindered by the poor robustness in below 400mV</w:t>
      </w:r>
      <w:r w:rsidR="006E2D08">
        <w:t xml:space="preserve"> supply voltage in SRAM</w:t>
      </w:r>
      <w:r w:rsidR="00FC0135">
        <w:t xml:space="preserve"> </w:t>
      </w:r>
      <w:proofErr w:type="spellStart"/>
      <w:r w:rsidR="00FC0135">
        <w:t>bitcells</w:t>
      </w:r>
      <w:proofErr w:type="spellEnd"/>
      <w:r w:rsidR="00DE055A">
        <w:t>.</w:t>
      </w:r>
      <w:r w:rsidR="005D2689">
        <w:t xml:space="preserve"> Hence, we try to research other ways to mitigate energy consumption in sub-threshold SRAMs. The method mentioned in [3] as </w:t>
      </w:r>
      <w:proofErr w:type="spellStart"/>
      <w:r w:rsidR="005D2689">
        <w:t>writeback</w:t>
      </w:r>
      <w:proofErr w:type="spellEnd"/>
      <w:r w:rsidR="005D2689">
        <w:t xml:space="preserve"> is a common way to </w:t>
      </w:r>
      <w:r w:rsidR="00D7399E">
        <w:t>avoid the half</w:t>
      </w:r>
      <w:r w:rsidR="00F5238C">
        <w:t xml:space="preserve"> select problem in </w:t>
      </w:r>
      <w:proofErr w:type="spellStart"/>
      <w:r w:rsidR="005D2689">
        <w:t>subthreshold</w:t>
      </w:r>
      <w:proofErr w:type="spellEnd"/>
      <w:r w:rsidR="005D2689">
        <w:t xml:space="preserve"> SRAMs. We propose a method to utilize the concept of </w:t>
      </w:r>
      <w:proofErr w:type="spellStart"/>
      <w:r w:rsidR="005D2689">
        <w:t>writeback</w:t>
      </w:r>
      <w:proofErr w:type="spellEnd"/>
      <w:r w:rsidR="005D2689">
        <w:t xml:space="preserve"> to implement low energy read operations. In our Method we implement 128bit intermediate latches in the global </w:t>
      </w:r>
      <w:proofErr w:type="spellStart"/>
      <w:r w:rsidR="005D2689">
        <w:t>bitlines</w:t>
      </w:r>
      <w:proofErr w:type="spellEnd"/>
      <w:r w:rsidR="005D2689">
        <w:t xml:space="preserve"> to latch all the 8 words (16 bits</w:t>
      </w:r>
      <w:proofErr w:type="gramStart"/>
      <w:r w:rsidR="005D2689">
        <w:t>)  in</w:t>
      </w:r>
      <w:proofErr w:type="gramEnd"/>
      <w:r w:rsidR="005D2689">
        <w:t xml:space="preserve"> a normal </w:t>
      </w:r>
      <w:r w:rsidR="00DD0D68">
        <w:t>write after read</w:t>
      </w:r>
      <w:r w:rsidR="00271133">
        <w:t xml:space="preserve"> (</w:t>
      </w:r>
      <w:proofErr w:type="spellStart"/>
      <w:r w:rsidR="00271133">
        <w:t>writeback</w:t>
      </w:r>
      <w:proofErr w:type="spellEnd"/>
      <w:r w:rsidR="00271133">
        <w:t>)</w:t>
      </w:r>
      <w:r w:rsidR="00960A4A">
        <w:t>, and</w:t>
      </w:r>
      <w:r w:rsidR="00DD0D68">
        <w:t xml:space="preserve"> </w:t>
      </w:r>
      <w:r w:rsidR="005D2689">
        <w:t xml:space="preserve">read operation, and if the user reads from the same row in </w:t>
      </w:r>
      <w:r w:rsidR="001D4035">
        <w:t xml:space="preserve">two or more consecutive </w:t>
      </w:r>
      <w:r w:rsidR="005D2689">
        <w:t xml:space="preserve">read operation the </w:t>
      </w:r>
      <w:r w:rsidR="00EB48BE">
        <w:t>Read W</w:t>
      </w:r>
      <w:r w:rsidR="005D2689">
        <w:t>ord</w:t>
      </w:r>
      <w:r w:rsidR="00EB48BE">
        <w:t xml:space="preserve"> L</w:t>
      </w:r>
      <w:r w:rsidR="005D2689">
        <w:t>ine</w:t>
      </w:r>
      <w:r w:rsidR="00EB48BE">
        <w:t xml:space="preserve"> (RWL)</w:t>
      </w:r>
      <w:r w:rsidR="005D2689">
        <w:t xml:space="preserve"> does not toggle and we just read</w:t>
      </w:r>
      <w:r w:rsidR="00F06DD8">
        <w:t xml:space="preserve"> from the intermediate latch. With</w:t>
      </w:r>
      <w:r w:rsidR="005D2689">
        <w:t xml:space="preserve"> this </w:t>
      </w:r>
      <w:r w:rsidR="00B24883">
        <w:t>scheme</w:t>
      </w:r>
      <w:r w:rsidR="005D2689">
        <w:t xml:space="preserve"> we save a lot of dynamic energy by n</w:t>
      </w:r>
      <w:r w:rsidR="00EB48BE">
        <w:t xml:space="preserve">ot switching RWL and </w:t>
      </w:r>
      <w:r w:rsidR="000B6BDD">
        <w:t xml:space="preserve">row </w:t>
      </w:r>
      <w:r w:rsidR="00EB48BE">
        <w:t>decoders.</w:t>
      </w:r>
      <w:r w:rsidR="00E52C9E">
        <w:t xml:space="preserve"> Hence, we should be consuming much less power in consecutive read operations in which operating component</w:t>
      </w:r>
      <w:r w:rsidR="00380095">
        <w:t>s of</w:t>
      </w:r>
      <w:r w:rsidR="00E52C9E">
        <w:t xml:space="preserve"> the memory are 16 bit output </w:t>
      </w:r>
      <w:r w:rsidR="009B16D9">
        <w:t>flip-flop</w:t>
      </w:r>
      <w:r w:rsidR="009045BF">
        <w:t>, 128 to 16 bit bus interface logic</w:t>
      </w:r>
      <w:r w:rsidR="00430FC4">
        <w:t>,</w:t>
      </w:r>
      <w:r w:rsidR="00E52C9E">
        <w:t xml:space="preserve"> and input flip-flops.</w:t>
      </w:r>
    </w:p>
    <w:p w:rsidR="00A139A4" w:rsidRDefault="00A139A4"/>
    <w:p w:rsidR="00DD25CD" w:rsidRDefault="00DD25CD">
      <w:r>
        <w:t>Motivation:</w:t>
      </w:r>
    </w:p>
    <w:p w:rsidR="00DD25CD" w:rsidRDefault="00DD25CD">
      <w:pPr>
        <w:jc w:val="both"/>
      </w:pPr>
      <w:r>
        <w:t xml:space="preserve">There was a version of sub-threshold data memory used </w:t>
      </w:r>
      <w:r w:rsidR="00337FF5">
        <w:t xml:space="preserve">in </w:t>
      </w:r>
      <w:proofErr w:type="spellStart"/>
      <w:r w:rsidR="00D44E50">
        <w:t>UVa</w:t>
      </w:r>
      <w:proofErr w:type="spellEnd"/>
      <w:r w:rsidR="00D44E50">
        <w:t xml:space="preserve"> </w:t>
      </w:r>
      <w:r w:rsidR="00497952">
        <w:t>Body Sensor Network (</w:t>
      </w:r>
      <w:r w:rsidR="00337FF5">
        <w:t>BSN</w:t>
      </w:r>
      <w:r w:rsidR="00497952">
        <w:t>)</w:t>
      </w:r>
      <w:r w:rsidR="00337FF5">
        <w:t xml:space="preserve"> chip </w:t>
      </w:r>
      <w:r>
        <w:t xml:space="preserve">last year. The memory had normal 128 bits of DIN and DOUTs directly providing to the user with operating </w:t>
      </w:r>
      <w:r>
        <w:lastRenderedPageBreak/>
        <w:t xml:space="preserve">voltage of 0.5 volt and frequency of 200 kHz. </w:t>
      </w:r>
      <w:r w:rsidR="00E5783D">
        <w:t>In</w:t>
      </w:r>
      <w:r>
        <w:t xml:space="preserve"> the memory </w:t>
      </w:r>
      <w:r w:rsidR="00E5783D">
        <w:t xml:space="preserve">the </w:t>
      </w:r>
      <w:r>
        <w:t>writing</w:t>
      </w:r>
      <w:r w:rsidR="00E5783D">
        <w:t xml:space="preserve"> operation</w:t>
      </w:r>
      <w:r>
        <w:t xml:space="preserve"> was done in effective two cycles by write after read approach which is standard in sub-threshold memories to avoid the half select issue. Recently the BSN chip team has changed the ISA along with the bus width of the main data and address bus to 16 bit each, and they demanded new features in the memory like somehow single cycle effectively writing, lowering the read dynamic power dissipation, and other features like including input and output flops, converting the existing 128bit bus to 16 bit bus interface to the SOC, and so on. In order to meet their requirements we added new circuits and modified the Data memory to meet the specification.</w:t>
      </w:r>
    </w:p>
    <w:p w:rsidR="00AE1524" w:rsidRDefault="00DD25CD">
      <w:proofErr w:type="gramStart"/>
      <w:r>
        <w:t xml:space="preserve">Annotated  </w:t>
      </w:r>
      <w:r w:rsidR="000C0F81">
        <w:t>f</w:t>
      </w:r>
      <w:r w:rsidR="00A3468E">
        <w:t>ull</w:t>
      </w:r>
      <w:proofErr w:type="gramEnd"/>
      <w:r w:rsidR="00A3468E">
        <w:t xml:space="preserve"> </w:t>
      </w:r>
      <w:r w:rsidR="000C0F81">
        <w:t>s</w:t>
      </w:r>
      <w:r>
        <w:t xml:space="preserve">chematic of 4KB </w:t>
      </w:r>
      <w:proofErr w:type="spellStart"/>
      <w:r w:rsidR="000C0F81">
        <w:t>s</w:t>
      </w:r>
      <w:r>
        <w:t>ub</w:t>
      </w:r>
      <w:r w:rsidR="000C0F81">
        <w:t>threshold</w:t>
      </w:r>
      <w:proofErr w:type="spellEnd"/>
      <w:r w:rsidR="000C0F81">
        <w:t xml:space="preserve"> </w:t>
      </w:r>
      <w:r w:rsidR="00804332">
        <w:t xml:space="preserve">SRAM </w:t>
      </w:r>
      <w:r w:rsidR="000C0F81">
        <w:t>data</w:t>
      </w:r>
      <w:r>
        <w:t xml:space="preserve"> </w:t>
      </w:r>
      <w:r w:rsidR="000C0F81">
        <w:t>m</w:t>
      </w:r>
      <w:r>
        <w:t>emory</w:t>
      </w:r>
      <w:r w:rsidR="006953F8">
        <w:t>:</w:t>
      </w:r>
    </w:p>
    <w:p w:rsidR="00DD25CD" w:rsidRDefault="006E49D4">
      <w:r>
        <w:rPr>
          <w:noProof/>
          <w:lang w:eastAsia="en-US"/>
        </w:rPr>
        <w:drawing>
          <wp:inline distT="0" distB="0" distL="0" distR="0">
            <wp:extent cx="5934075" cy="5600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5600700"/>
                    </a:xfrm>
                    <a:prstGeom prst="rect">
                      <a:avLst/>
                    </a:prstGeom>
                    <a:solidFill>
                      <a:srgbClr val="FFFFFF"/>
                    </a:solidFill>
                    <a:ln>
                      <a:noFill/>
                    </a:ln>
                  </pic:spPr>
                </pic:pic>
              </a:graphicData>
            </a:graphic>
          </wp:inline>
        </w:drawing>
      </w:r>
    </w:p>
    <w:p w:rsidR="00DD25CD" w:rsidRDefault="00DD25CD">
      <w:r>
        <w:t>Fig. 1-a</w:t>
      </w:r>
    </w:p>
    <w:p w:rsidR="00DD25CD" w:rsidRDefault="003B4736">
      <w:r>
        <w:lastRenderedPageBreak/>
        <w:t>Simulated and annotated w</w:t>
      </w:r>
      <w:r w:rsidR="00DD25CD">
        <w:t xml:space="preserve">aveform of the </w:t>
      </w:r>
      <w:r>
        <w:t>single cycle w</w:t>
      </w:r>
      <w:r w:rsidR="00DD25CD">
        <w:t xml:space="preserve">rite </w:t>
      </w:r>
      <w:r>
        <w:t>a</w:t>
      </w:r>
      <w:r w:rsidR="00DD25CD">
        <w:t xml:space="preserve">fter </w:t>
      </w:r>
      <w:r>
        <w:t>read</w:t>
      </w:r>
      <w:r w:rsidR="005D18DC">
        <w:t>,</w:t>
      </w:r>
      <w:r>
        <w:t xml:space="preserve"> and n</w:t>
      </w:r>
      <w:r w:rsidR="00DD25CD">
        <w:t xml:space="preserve">ormal </w:t>
      </w:r>
      <w:r>
        <w:t>read o</w:t>
      </w:r>
      <w:r w:rsidR="00DD25CD">
        <w:t>perations:</w:t>
      </w:r>
    </w:p>
    <w:p w:rsidR="00DD25CD" w:rsidRDefault="006E49D4">
      <w:r>
        <w:rPr>
          <w:noProof/>
          <w:lang w:eastAsia="en-US"/>
        </w:rPr>
        <w:drawing>
          <wp:inline distT="0" distB="0" distL="0" distR="0">
            <wp:extent cx="5934075" cy="7029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7029450"/>
                    </a:xfrm>
                    <a:prstGeom prst="rect">
                      <a:avLst/>
                    </a:prstGeom>
                    <a:solidFill>
                      <a:srgbClr val="FFFFFF"/>
                    </a:solidFill>
                    <a:ln>
                      <a:noFill/>
                    </a:ln>
                  </pic:spPr>
                </pic:pic>
              </a:graphicData>
            </a:graphic>
          </wp:inline>
        </w:drawing>
      </w:r>
    </w:p>
    <w:p w:rsidR="00DD25CD" w:rsidRDefault="00DD25CD">
      <w:r>
        <w:t>Fig. 1-b</w:t>
      </w:r>
    </w:p>
    <w:p w:rsidR="00DD25CD" w:rsidRDefault="00DD25CD"/>
    <w:p w:rsidR="00DD25CD" w:rsidRDefault="00F54FC2">
      <w:r>
        <w:lastRenderedPageBreak/>
        <w:t>Simulated and annotated waveform of the low energy read o</w:t>
      </w:r>
      <w:r w:rsidR="00DD25CD">
        <w:t>perations:</w:t>
      </w:r>
    </w:p>
    <w:p w:rsidR="00DD25CD" w:rsidRDefault="006E49D4">
      <w:r>
        <w:rPr>
          <w:noProof/>
          <w:lang w:eastAsia="en-US"/>
        </w:rPr>
        <w:drawing>
          <wp:inline distT="0" distB="0" distL="0" distR="0">
            <wp:extent cx="5934075" cy="6838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6838950"/>
                    </a:xfrm>
                    <a:prstGeom prst="rect">
                      <a:avLst/>
                    </a:prstGeom>
                    <a:solidFill>
                      <a:srgbClr val="FFFFFF"/>
                    </a:solidFill>
                    <a:ln>
                      <a:noFill/>
                    </a:ln>
                  </pic:spPr>
                </pic:pic>
              </a:graphicData>
            </a:graphic>
          </wp:inline>
        </w:drawing>
      </w:r>
    </w:p>
    <w:p w:rsidR="00DD25CD" w:rsidRDefault="00F34EBD">
      <w:r>
        <w:t>Fig. 1-</w:t>
      </w:r>
      <w:r w:rsidR="00DD25CD">
        <w:t>c</w:t>
      </w:r>
    </w:p>
    <w:p w:rsidR="00856A0F" w:rsidRDefault="00856A0F"/>
    <w:p w:rsidR="00DD25CD" w:rsidRDefault="00703AAE">
      <w:proofErr w:type="gramStart"/>
      <w:r>
        <w:lastRenderedPageBreak/>
        <w:t>Annotated  schematic</w:t>
      </w:r>
      <w:proofErr w:type="gramEnd"/>
      <w:r>
        <w:t xml:space="preserve">  for low energy read o</w:t>
      </w:r>
      <w:r w:rsidR="00DD25CD">
        <w:t>peration</w:t>
      </w:r>
      <w:r w:rsidR="007F015A">
        <w:t xml:space="preserve"> support</w:t>
      </w:r>
      <w:r w:rsidR="00DD25CD">
        <w:t xml:space="preserve"> in 4KB </w:t>
      </w:r>
      <w:proofErr w:type="spellStart"/>
      <w:r w:rsidR="000C1961">
        <w:t>subthreshold</w:t>
      </w:r>
      <w:proofErr w:type="spellEnd"/>
      <w:r w:rsidR="000C1961">
        <w:t xml:space="preserve"> </w:t>
      </w:r>
      <w:r w:rsidR="006E5D20">
        <w:t xml:space="preserve">SRAM </w:t>
      </w:r>
      <w:r w:rsidR="000C1961">
        <w:t>data m</w:t>
      </w:r>
      <w:r w:rsidR="00DD25CD">
        <w:t>emory :</w:t>
      </w:r>
    </w:p>
    <w:p w:rsidR="00DD25CD" w:rsidRDefault="006E49D4">
      <w:r>
        <w:rPr>
          <w:noProof/>
          <w:lang w:eastAsia="en-US"/>
        </w:rPr>
        <w:drawing>
          <wp:inline distT="0" distB="0" distL="0" distR="0">
            <wp:extent cx="5943600" cy="7277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7277100"/>
                    </a:xfrm>
                    <a:prstGeom prst="rect">
                      <a:avLst/>
                    </a:prstGeom>
                    <a:solidFill>
                      <a:srgbClr val="FFFFFF"/>
                    </a:solidFill>
                    <a:ln>
                      <a:noFill/>
                    </a:ln>
                  </pic:spPr>
                </pic:pic>
              </a:graphicData>
            </a:graphic>
          </wp:inline>
        </w:drawing>
      </w:r>
    </w:p>
    <w:p w:rsidR="00DD25CD" w:rsidRDefault="00DD25CD">
      <w:r>
        <w:t>Fig. 2</w:t>
      </w:r>
    </w:p>
    <w:p w:rsidR="00DD25CD" w:rsidRPr="00CC0162" w:rsidRDefault="002D5C39">
      <w:proofErr w:type="gramStart"/>
      <w:r>
        <w:lastRenderedPageBreak/>
        <w:t>Annotated  schematic</w:t>
      </w:r>
      <w:proofErr w:type="gramEnd"/>
      <w:r>
        <w:t xml:space="preserve">  for single cycle write after read control logic, output-flop, and 128 bit intermediate latch clock generation logic in 4KB </w:t>
      </w:r>
      <w:proofErr w:type="spellStart"/>
      <w:r>
        <w:t>subthreshold</w:t>
      </w:r>
      <w:proofErr w:type="spellEnd"/>
      <w:r>
        <w:t xml:space="preserve"> </w:t>
      </w:r>
      <w:r w:rsidR="006A5B41">
        <w:t xml:space="preserve">SRAM </w:t>
      </w:r>
      <w:r>
        <w:t>data memory :</w:t>
      </w:r>
    </w:p>
    <w:p w:rsidR="00DD25CD" w:rsidRDefault="006E49D4">
      <w:r>
        <w:rPr>
          <w:noProof/>
          <w:lang w:eastAsia="en-US"/>
        </w:rPr>
        <w:drawing>
          <wp:inline distT="0" distB="0" distL="0" distR="0">
            <wp:extent cx="5943600" cy="685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6858000"/>
                    </a:xfrm>
                    <a:prstGeom prst="rect">
                      <a:avLst/>
                    </a:prstGeom>
                    <a:solidFill>
                      <a:srgbClr val="FFFFFF"/>
                    </a:solidFill>
                    <a:ln>
                      <a:noFill/>
                    </a:ln>
                  </pic:spPr>
                </pic:pic>
              </a:graphicData>
            </a:graphic>
          </wp:inline>
        </w:drawing>
      </w:r>
    </w:p>
    <w:p w:rsidR="00DD25CD" w:rsidRDefault="00F34EBD">
      <w:r>
        <w:t>Fig.</w:t>
      </w:r>
      <w:r w:rsidR="00DD25CD">
        <w:t xml:space="preserve"> 3</w:t>
      </w:r>
    </w:p>
    <w:p w:rsidR="007407B0" w:rsidRDefault="007407B0"/>
    <w:p w:rsidR="00DD25CD" w:rsidRDefault="00C207AA">
      <w:r>
        <w:lastRenderedPageBreak/>
        <w:t>16 b</w:t>
      </w:r>
      <w:r w:rsidR="00DD25CD">
        <w:t xml:space="preserve">it </w:t>
      </w:r>
      <w:r>
        <w:t>b</w:t>
      </w:r>
      <w:r w:rsidR="00DD25CD">
        <w:t xml:space="preserve">us </w:t>
      </w:r>
      <w:r>
        <w:t>controller and 128-to-16bit bus i</w:t>
      </w:r>
      <w:r w:rsidR="00DD25CD">
        <w:t xml:space="preserve">nterface </w:t>
      </w:r>
      <w:r>
        <w:t>l</w:t>
      </w:r>
      <w:r w:rsidR="00DD25CD">
        <w:t>ogic:</w:t>
      </w:r>
    </w:p>
    <w:p w:rsidR="00DD25CD" w:rsidRDefault="006E49D4">
      <w:r>
        <w:rPr>
          <w:noProof/>
          <w:lang w:eastAsia="en-US"/>
        </w:rPr>
        <w:drawing>
          <wp:inline distT="0" distB="0" distL="0" distR="0">
            <wp:extent cx="6048375" cy="72390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8375" cy="7239000"/>
                    </a:xfrm>
                    <a:prstGeom prst="rect">
                      <a:avLst/>
                    </a:prstGeom>
                    <a:solidFill>
                      <a:srgbClr val="FFFFFF"/>
                    </a:solidFill>
                    <a:ln>
                      <a:noFill/>
                    </a:ln>
                  </pic:spPr>
                </pic:pic>
              </a:graphicData>
            </a:graphic>
          </wp:inline>
        </w:drawing>
      </w:r>
    </w:p>
    <w:p w:rsidR="00DD25CD" w:rsidRDefault="00F34EBD">
      <w:r>
        <w:t>Fig.</w:t>
      </w:r>
      <w:r w:rsidR="00DD25CD">
        <w:t xml:space="preserve"> 4</w:t>
      </w:r>
    </w:p>
    <w:p w:rsidR="00FD6B3A" w:rsidRDefault="00FD6B3A" w:rsidP="00FD6B3A">
      <w:pPr>
        <w:rPr>
          <w:u w:val="single"/>
        </w:rPr>
      </w:pPr>
      <w:r>
        <w:rPr>
          <w:rFonts w:ascii="Cambria" w:hAnsi="Cambria"/>
          <w:sz w:val="32"/>
          <w:szCs w:val="32"/>
        </w:rPr>
        <w:lastRenderedPageBreak/>
        <w:t xml:space="preserve">Chapter 3  </w:t>
      </w:r>
    </w:p>
    <w:p w:rsidR="00FD6B3A" w:rsidRPr="00CB7E7F" w:rsidRDefault="004826E4" w:rsidP="00FD6B3A">
      <w:pPr>
        <w:pBdr>
          <w:bottom w:val="single" w:sz="12" w:space="1" w:color="auto"/>
        </w:pBdr>
        <w:rPr>
          <w:rFonts w:ascii="Cambria" w:hAnsi="Cambria"/>
          <w:b/>
          <w:sz w:val="28"/>
          <w:szCs w:val="28"/>
        </w:rPr>
      </w:pPr>
      <w:r w:rsidRPr="004826E4">
        <w:rPr>
          <w:rFonts w:ascii="Cambria" w:hAnsi="Cambria"/>
          <w:b/>
          <w:sz w:val="32"/>
          <w:szCs w:val="32"/>
        </w:rPr>
        <w:t>Report on our Group’s progress</w:t>
      </w:r>
      <w:r w:rsidR="00FD6B3A" w:rsidRPr="00CB7E7F">
        <w:rPr>
          <w:rFonts w:ascii="Cambria" w:hAnsi="Cambria"/>
          <w:b/>
          <w:sz w:val="28"/>
          <w:szCs w:val="28"/>
        </w:rPr>
        <w:t xml:space="preserve"> </w:t>
      </w:r>
    </w:p>
    <w:p w:rsidR="00DD25CD" w:rsidRDefault="00DD25CD">
      <w:r>
        <w:t>Progress:</w:t>
      </w:r>
    </w:p>
    <w:p w:rsidR="00DD25CD" w:rsidRDefault="00DD25CD">
      <w:pPr>
        <w:jc w:val="both"/>
      </w:pPr>
      <w:r>
        <w:t>We already build the</w:t>
      </w:r>
      <w:r w:rsidR="00893095">
        <w:t>se</w:t>
      </w:r>
      <w:r>
        <w:t xml:space="preserve"> above sub-circuitry for low energy read operation support, single cycle write after read, 128 to 16 bit bus multiplexers, intermediate 128 bit latches and input and output flops. As this memory will always be operated at room temperature, we are simulating the same in 27C</w:t>
      </w:r>
      <w:r w:rsidR="00093282">
        <w:t xml:space="preserve"> temperature only</w:t>
      </w:r>
      <w:r>
        <w:t xml:space="preserve">. We have simulated our sub-threshold memory in PVT of TT_0.5V_27C corner and the functionality we are getting from simulation is what we intended. The supply voltage of 0.5V was chosen by the BSN chip group as the supply for the digital logic used is 0.5v. The memory is already been working with the supply voltage near by the “mean +3 sigma” DRV </w:t>
      </w:r>
      <w:proofErr w:type="spellStart"/>
      <w:r>
        <w:t>Vmin</w:t>
      </w:r>
      <w:proofErr w:type="spellEnd"/>
      <w:r>
        <w:t xml:space="preserve"> of the </w:t>
      </w:r>
      <w:proofErr w:type="spellStart"/>
      <w:r>
        <w:t>bitcell</w:t>
      </w:r>
      <w:proofErr w:type="spellEnd"/>
      <w:r>
        <w:t xml:space="preserve"> which is nearly 350mV.</w:t>
      </w:r>
    </w:p>
    <w:p w:rsidR="00DD25CD" w:rsidRDefault="00DD25CD">
      <w:r>
        <w:t>We distinctly separate tasks prior to the proposal, and following the proposal as follow:</w:t>
      </w:r>
    </w:p>
    <w:p w:rsidR="00DD25CD" w:rsidRDefault="00DD25CD">
      <w:r>
        <w:t>Tasks prior to the proposal:</w:t>
      </w:r>
    </w:p>
    <w:p w:rsidR="00DD25CD" w:rsidRDefault="00DD25CD" w:rsidP="004A4FBA">
      <w:pPr>
        <w:pStyle w:val="ListParagraph"/>
        <w:numPr>
          <w:ilvl w:val="0"/>
          <w:numId w:val="2"/>
        </w:numPr>
      </w:pPr>
      <w:r>
        <w:t>Simulation and debugging</w:t>
      </w:r>
      <w:r w:rsidR="008016BD">
        <w:t xml:space="preserve"> for functionality of </w:t>
      </w:r>
      <w:r>
        <w:t xml:space="preserve"> the 4KB Data Memory in all process corners</w:t>
      </w:r>
    </w:p>
    <w:p w:rsidR="00DD25CD" w:rsidRPr="009611DD" w:rsidRDefault="00DD25CD" w:rsidP="00EC45E2">
      <w:pPr>
        <w:pStyle w:val="ListParagraph"/>
        <w:numPr>
          <w:ilvl w:val="1"/>
          <w:numId w:val="2"/>
        </w:numPr>
      </w:pPr>
      <w:r>
        <w:t>TT, FF, SS, SF and FS</w:t>
      </w:r>
    </w:p>
    <w:p w:rsidR="00DD25CD" w:rsidRPr="009611DD" w:rsidRDefault="00DD25CD">
      <w:pPr>
        <w:pStyle w:val="ListParagraph"/>
        <w:numPr>
          <w:ilvl w:val="1"/>
          <w:numId w:val="2"/>
        </w:numPr>
      </w:pPr>
      <w:r w:rsidRPr="009611DD">
        <w:t>With all WR modes starting from WR&lt;0:3&gt;=000 to WR&lt;0:3&gt;=111</w:t>
      </w:r>
    </w:p>
    <w:p w:rsidR="005D60D5" w:rsidRPr="009611DD" w:rsidRDefault="005D60D5">
      <w:pPr>
        <w:pStyle w:val="ListParagraph"/>
        <w:numPr>
          <w:ilvl w:val="1"/>
          <w:numId w:val="2"/>
        </w:numPr>
      </w:pPr>
      <w:r w:rsidRPr="009611DD">
        <w:t xml:space="preserve">Measurement of the Energy Savings in </w:t>
      </w:r>
      <w:r w:rsidR="00947EB6" w:rsidRPr="009611DD">
        <w:t>Low Energy Mode  for</w:t>
      </w:r>
      <w:r w:rsidR="00005F1F" w:rsidRPr="009611DD">
        <w:t xml:space="preserve"> TT</w:t>
      </w:r>
      <w:r w:rsidR="00947EB6" w:rsidRPr="009611DD">
        <w:t xml:space="preserve"> </w:t>
      </w:r>
      <w:r w:rsidRPr="009611DD">
        <w:t>corner</w:t>
      </w:r>
    </w:p>
    <w:p w:rsidR="00DD25CD" w:rsidRDefault="00DD25CD">
      <w:pPr>
        <w:rPr>
          <w:b/>
        </w:rPr>
      </w:pPr>
      <w:r>
        <w:t>Remaining Tasks following the proposal:</w:t>
      </w:r>
      <w:r>
        <w:rPr>
          <w:b/>
        </w:rPr>
        <w:t xml:space="preserve">     </w:t>
      </w:r>
    </w:p>
    <w:p w:rsidR="00DD25CD" w:rsidRDefault="00DD25CD">
      <w:pPr>
        <w:pStyle w:val="ListParagraph"/>
        <w:numPr>
          <w:ilvl w:val="0"/>
          <w:numId w:val="2"/>
        </w:numPr>
      </w:pPr>
      <w:r>
        <w:t>Measuring the E</w:t>
      </w:r>
      <w:r w:rsidR="00947EB6">
        <w:t>nergy Saving in Low Energy Mode for in TT, FF, SS, SF and FS corners</w:t>
      </w:r>
    </w:p>
    <w:p w:rsidR="00DD25CD" w:rsidRDefault="00DD25CD">
      <w:pPr>
        <w:pStyle w:val="ListParagraph"/>
        <w:numPr>
          <w:ilvl w:val="0"/>
          <w:numId w:val="2"/>
        </w:numPr>
      </w:pPr>
      <w:r>
        <w:t>Checking Design Margins in TT, FF, SS, SF and FS for at least one WR mode</w:t>
      </w:r>
    </w:p>
    <w:p w:rsidR="00DD25CD" w:rsidRDefault="00DD25CD">
      <w:pPr>
        <w:pStyle w:val="ListParagraph"/>
        <w:numPr>
          <w:ilvl w:val="0"/>
          <w:numId w:val="2"/>
        </w:numPr>
      </w:pPr>
      <w:r>
        <w:t>Building Layouts of each new component block</w:t>
      </w:r>
    </w:p>
    <w:p w:rsidR="00DD25CD" w:rsidRDefault="00DD25CD">
      <w:pPr>
        <w:pStyle w:val="ListParagraph"/>
        <w:numPr>
          <w:ilvl w:val="0"/>
          <w:numId w:val="2"/>
        </w:numPr>
      </w:pPr>
      <w:r>
        <w:t>Integrating Layouts to Data Memory</w:t>
      </w:r>
    </w:p>
    <w:p w:rsidR="00DD25CD" w:rsidRDefault="00DD25CD">
      <w:pPr>
        <w:pStyle w:val="ListParagraph"/>
        <w:numPr>
          <w:ilvl w:val="0"/>
          <w:numId w:val="2"/>
        </w:numPr>
      </w:pPr>
      <w:r>
        <w:t>Running DRC and LVS</w:t>
      </w:r>
    </w:p>
    <w:p w:rsidR="00DD25CD" w:rsidRDefault="00DD25CD">
      <w:pPr>
        <w:pStyle w:val="ListParagraph"/>
        <w:numPr>
          <w:ilvl w:val="0"/>
          <w:numId w:val="2"/>
        </w:numPr>
      </w:pPr>
      <w:r>
        <w:t xml:space="preserve">Extracting Lumped </w:t>
      </w:r>
      <w:proofErr w:type="spellStart"/>
      <w:r>
        <w:t>parasitics</w:t>
      </w:r>
      <w:proofErr w:type="spellEnd"/>
    </w:p>
    <w:p w:rsidR="00DD25CD" w:rsidRDefault="00DD25CD">
      <w:pPr>
        <w:pStyle w:val="ListParagraph"/>
        <w:numPr>
          <w:ilvl w:val="0"/>
          <w:numId w:val="2"/>
        </w:numPr>
      </w:pPr>
      <w:r>
        <w:t xml:space="preserve">Simulate in TT corner with lumped </w:t>
      </w:r>
      <w:proofErr w:type="spellStart"/>
      <w:r>
        <w:t>parasitics</w:t>
      </w:r>
      <w:proofErr w:type="spellEnd"/>
    </w:p>
    <w:p w:rsidR="00DD25CD" w:rsidRDefault="006B2E1A">
      <w:pPr>
        <w:pStyle w:val="ListParagraph"/>
        <w:numPr>
          <w:ilvl w:val="0"/>
          <w:numId w:val="2"/>
        </w:numPr>
      </w:pPr>
      <w:r>
        <w:t>F</w:t>
      </w:r>
      <w:r w:rsidR="00DD25CD">
        <w:t xml:space="preserve">urther simulate FF, and SS corner with lumped </w:t>
      </w:r>
      <w:proofErr w:type="spellStart"/>
      <w:r w:rsidR="00DD25CD">
        <w:t>parasitics</w:t>
      </w:r>
      <w:proofErr w:type="spellEnd"/>
    </w:p>
    <w:p w:rsidR="00DD25CD" w:rsidRDefault="00D03CD2">
      <w:pPr>
        <w:pStyle w:val="ListParagraph"/>
        <w:numPr>
          <w:ilvl w:val="0"/>
          <w:numId w:val="2"/>
        </w:numPr>
      </w:pPr>
      <w:r>
        <w:t xml:space="preserve">Sign off and </w:t>
      </w:r>
      <w:r w:rsidR="00DD25CD">
        <w:t>Tape out</w:t>
      </w:r>
      <w:r w:rsidR="00305ACE">
        <w:t xml:space="preserve"> on</w:t>
      </w:r>
      <w:r w:rsidR="00B16849">
        <w:t xml:space="preserve"> </w:t>
      </w:r>
      <w:r w:rsidR="00EE5F31">
        <w:t>November 6</w:t>
      </w:r>
      <w:r w:rsidR="00EE5F31" w:rsidRPr="00857D09">
        <w:rPr>
          <w:vertAlign w:val="superscript"/>
        </w:rPr>
        <w:t>th</w:t>
      </w:r>
      <w:r w:rsidR="00857D09">
        <w:t xml:space="preserve"> 2012</w:t>
      </w:r>
    </w:p>
    <w:p w:rsidR="001D00EF" w:rsidRDefault="001D00EF" w:rsidP="001D00EF">
      <w:pPr>
        <w:rPr>
          <w:u w:val="single"/>
        </w:rPr>
      </w:pPr>
      <w:bookmarkStart w:id="0" w:name="_GoBack"/>
      <w:bookmarkEnd w:id="0"/>
      <w:r>
        <w:rPr>
          <w:rFonts w:ascii="Cambria" w:hAnsi="Cambria"/>
          <w:sz w:val="32"/>
          <w:szCs w:val="32"/>
        </w:rPr>
        <w:lastRenderedPageBreak/>
        <w:t xml:space="preserve">Chapter 4  </w:t>
      </w:r>
    </w:p>
    <w:p w:rsidR="001D00EF" w:rsidRPr="00CB7E7F" w:rsidRDefault="001D00EF" w:rsidP="001D00EF">
      <w:pPr>
        <w:pBdr>
          <w:bottom w:val="single" w:sz="12" w:space="1" w:color="auto"/>
        </w:pBdr>
        <w:rPr>
          <w:rFonts w:ascii="Cambria" w:hAnsi="Cambria"/>
          <w:b/>
          <w:sz w:val="28"/>
          <w:szCs w:val="28"/>
        </w:rPr>
      </w:pPr>
      <w:r w:rsidRPr="004826E4">
        <w:rPr>
          <w:rFonts w:ascii="Cambria" w:hAnsi="Cambria"/>
          <w:b/>
          <w:sz w:val="32"/>
          <w:szCs w:val="32"/>
        </w:rPr>
        <w:t>Re</w:t>
      </w:r>
      <w:r w:rsidR="0046224B">
        <w:rPr>
          <w:rFonts w:ascii="Cambria" w:hAnsi="Cambria"/>
          <w:b/>
          <w:sz w:val="32"/>
          <w:szCs w:val="32"/>
        </w:rPr>
        <w:t>ferences</w:t>
      </w:r>
    </w:p>
    <w:p w:rsidR="00DD25CD" w:rsidRDefault="00DD25CD">
      <w:pPr>
        <w:pStyle w:val="Bibliography"/>
      </w:pPr>
    </w:p>
    <w:p w:rsidR="00DD25CD" w:rsidRDefault="00DD25CD">
      <w:pPr>
        <w:pStyle w:val="Bibliography"/>
      </w:pPr>
    </w:p>
    <w:p w:rsidR="00DD25CD" w:rsidRDefault="00DD25CD">
      <w:pPr>
        <w:pStyle w:val="Bibliography"/>
      </w:pPr>
    </w:p>
    <w:p w:rsidR="00DD25CD" w:rsidRDefault="00DD25CD">
      <w:pPr>
        <w:pStyle w:val="Bibliography"/>
      </w:pPr>
      <w:r>
        <w:t>[1]</w:t>
      </w:r>
      <w:r>
        <w:tab/>
        <w:t xml:space="preserve"> J. P. </w:t>
      </w:r>
      <w:proofErr w:type="spellStart"/>
      <w:r>
        <w:t>Kulkarni</w:t>
      </w:r>
      <w:proofErr w:type="spellEnd"/>
      <w:r>
        <w:t xml:space="preserve">, K. Kim, and K. Roy, “A 160 mV Robust Schmitt Trigger Based </w:t>
      </w:r>
      <w:proofErr w:type="spellStart"/>
      <w:r>
        <w:t>Subthreshold</w:t>
      </w:r>
      <w:proofErr w:type="spellEnd"/>
      <w:r>
        <w:t xml:space="preserve"> SRAM,” </w:t>
      </w:r>
      <w:r>
        <w:rPr>
          <w:i/>
          <w:iCs/>
        </w:rPr>
        <w:t>IEEE Journal of Solid-State Circuits</w:t>
      </w:r>
      <w:r>
        <w:t>, vol. 42, no. 10, pp. 2303–2313, Oct. 2007.</w:t>
      </w:r>
    </w:p>
    <w:p w:rsidR="00DD25CD" w:rsidRDefault="00DD25CD">
      <w:pPr>
        <w:pStyle w:val="Bibliography"/>
      </w:pPr>
      <w:r>
        <w:t>[2]</w:t>
      </w:r>
      <w:r>
        <w:tab/>
        <w:t xml:space="preserve"> I. J. Chang, J.-J. Kim, S. P. Park, and K. Roy, “A 32 kb 10T Sub-Threshold SRAM Array With Bit-Interleaving and Differential Read Scheme in 90 nm CMOS,” </w:t>
      </w:r>
      <w:r>
        <w:rPr>
          <w:i/>
          <w:iCs/>
        </w:rPr>
        <w:t>IEEE Journal of Solid-State Circuits</w:t>
      </w:r>
      <w:r>
        <w:t>, vol. 44, no. 2, pp. 650–658, Feb. 2009.</w:t>
      </w:r>
    </w:p>
    <w:p w:rsidR="00DD25CD" w:rsidRDefault="00DD25CD">
      <w:pPr>
        <w:pStyle w:val="Bibliography"/>
      </w:pPr>
      <w:r>
        <w:t>[3]</w:t>
      </w:r>
      <w:r>
        <w:tab/>
        <w:t xml:space="preserve"> T. H. Kim, J. Liu, J. Keane, and C. H. Kim, “A high-density </w:t>
      </w:r>
      <w:proofErr w:type="spellStart"/>
      <w:r>
        <w:t>subthreshold</w:t>
      </w:r>
      <w:proofErr w:type="spellEnd"/>
      <w:r>
        <w:t xml:space="preserve"> SRAM with data-independent </w:t>
      </w:r>
      <w:proofErr w:type="spellStart"/>
      <w:r>
        <w:t>bitline</w:t>
      </w:r>
      <w:proofErr w:type="spellEnd"/>
      <w:r>
        <w:t xml:space="preserve"> leakage and virtual ground replica scheme,” in </w:t>
      </w:r>
      <w:r>
        <w:rPr>
          <w:i/>
          <w:iCs/>
        </w:rPr>
        <w:t xml:space="preserve">Solid-State Circuits Conference, 2007. </w:t>
      </w:r>
      <w:proofErr w:type="gramStart"/>
      <w:r>
        <w:rPr>
          <w:i/>
          <w:iCs/>
        </w:rPr>
        <w:t>ISSCC 2007.</w:t>
      </w:r>
      <w:proofErr w:type="gramEnd"/>
      <w:r>
        <w:rPr>
          <w:i/>
          <w:iCs/>
        </w:rPr>
        <w:t xml:space="preserve"> Digest of Technical Papers. IEEE International</w:t>
      </w:r>
      <w:r>
        <w:t>, 2007, pp. 330–606.</w:t>
      </w:r>
    </w:p>
    <w:p w:rsidR="00DD25CD" w:rsidRDefault="00DD25CD">
      <w:pPr>
        <w:pStyle w:val="Bibliography"/>
      </w:pPr>
      <w:r>
        <w:t>[4]</w:t>
      </w:r>
      <w:r>
        <w:tab/>
        <w:t xml:space="preserve"> B. H. Calhoun and A. </w:t>
      </w:r>
      <w:proofErr w:type="spellStart"/>
      <w:r>
        <w:t>Chandrakasan</w:t>
      </w:r>
      <w:proofErr w:type="spellEnd"/>
      <w:r>
        <w:t xml:space="preserve">, “A 256kb sub-threshold SRAM in 65nm CMOS,” in </w:t>
      </w:r>
      <w:r>
        <w:rPr>
          <w:i/>
          <w:iCs/>
        </w:rPr>
        <w:t xml:space="preserve">Solid-State Circuits Conference, 2006. </w:t>
      </w:r>
      <w:proofErr w:type="gramStart"/>
      <w:r>
        <w:rPr>
          <w:i/>
          <w:iCs/>
        </w:rPr>
        <w:t>ISSCC 2006.</w:t>
      </w:r>
      <w:proofErr w:type="gramEnd"/>
      <w:r>
        <w:rPr>
          <w:i/>
          <w:iCs/>
        </w:rPr>
        <w:t xml:space="preserve"> Digest of Technical Papers. IEEE International</w:t>
      </w:r>
      <w:r>
        <w:t>, 2006, pp. 2592–2601.</w:t>
      </w:r>
    </w:p>
    <w:p w:rsidR="00DD25CD" w:rsidRDefault="00DD25CD">
      <w:pPr>
        <w:pStyle w:val="Bibliography"/>
      </w:pPr>
      <w:r>
        <w:t>[5]</w:t>
      </w:r>
      <w:r>
        <w:tab/>
        <w:t xml:space="preserve"> G. K. Reddy, K. </w:t>
      </w:r>
      <w:proofErr w:type="spellStart"/>
      <w:r>
        <w:t>Jainwal</w:t>
      </w:r>
      <w:proofErr w:type="spellEnd"/>
      <w:r>
        <w:t xml:space="preserve">, J. Singh, and S. P. </w:t>
      </w:r>
      <w:proofErr w:type="spellStart"/>
      <w:r>
        <w:t>Mohanty</w:t>
      </w:r>
      <w:proofErr w:type="spellEnd"/>
      <w:r>
        <w:t xml:space="preserve">, “Process variation tolerant 9T SRAM </w:t>
      </w:r>
      <w:proofErr w:type="spellStart"/>
      <w:r>
        <w:t>bitcell</w:t>
      </w:r>
      <w:proofErr w:type="spellEnd"/>
      <w:r>
        <w:t xml:space="preserve"> design,” in </w:t>
      </w:r>
      <w:r>
        <w:rPr>
          <w:i/>
          <w:iCs/>
        </w:rPr>
        <w:t>Quality Electronic Design (ISQED), 2012 13th International Symposium on</w:t>
      </w:r>
      <w:r>
        <w:t>, 2012, pp. 493–497.</w:t>
      </w:r>
    </w:p>
    <w:p w:rsidR="00DD25CD" w:rsidRDefault="00DD25CD">
      <w:r>
        <w:t xml:space="preserve">[6]   Ali </w:t>
      </w:r>
      <w:proofErr w:type="spellStart"/>
      <w:r>
        <w:t>Valaee</w:t>
      </w:r>
      <w:proofErr w:type="spellEnd"/>
      <w:r>
        <w:t xml:space="preserve">, </w:t>
      </w:r>
      <w:proofErr w:type="spellStart"/>
      <w:r>
        <w:t>Asim</w:t>
      </w:r>
      <w:proofErr w:type="spellEnd"/>
      <w:r>
        <w:t xml:space="preserve"> J. Al-</w:t>
      </w:r>
      <w:proofErr w:type="spellStart"/>
      <w:r>
        <w:t>Khalili</w:t>
      </w:r>
      <w:proofErr w:type="spellEnd"/>
      <w:r>
        <w:t xml:space="preserve">, “SRAM Read-Assist Scheme for High Performance Low Power Applications” in </w:t>
      </w:r>
      <w:r>
        <w:rPr>
          <w:i/>
        </w:rPr>
        <w:t xml:space="preserve">International </w:t>
      </w:r>
      <w:proofErr w:type="spellStart"/>
      <w:r>
        <w:rPr>
          <w:i/>
        </w:rPr>
        <w:t>SoC</w:t>
      </w:r>
      <w:proofErr w:type="spellEnd"/>
      <w:r>
        <w:rPr>
          <w:i/>
        </w:rPr>
        <w:t xml:space="preserve"> Design Conference</w:t>
      </w:r>
      <w:r w:rsidR="00331CC5">
        <w:rPr>
          <w:i/>
        </w:rPr>
        <w:t xml:space="preserve"> </w:t>
      </w:r>
      <w:r>
        <w:rPr>
          <w:i/>
        </w:rPr>
        <w:t xml:space="preserve">(ISOCC), 2011, </w:t>
      </w:r>
      <w:r>
        <w:t>pp. 179-182</w:t>
      </w:r>
      <w:r>
        <w:rPr>
          <w:i/>
        </w:rPr>
        <w:t>.</w:t>
      </w:r>
      <w:r>
        <w:t xml:space="preserve"> </w:t>
      </w:r>
    </w:p>
    <w:sectPr w:rsidR="00DD25CD" w:rsidSect="00D12649">
      <w:footerReference w:type="default" r:id="rId1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8C9" w:rsidRDefault="007B38C9" w:rsidP="00CB7E7F">
      <w:pPr>
        <w:spacing w:after="0" w:line="240" w:lineRule="auto"/>
      </w:pPr>
      <w:r>
        <w:separator/>
      </w:r>
    </w:p>
  </w:endnote>
  <w:endnote w:type="continuationSeparator" w:id="0">
    <w:p w:rsidR="007B38C9" w:rsidRDefault="007B38C9" w:rsidP="00C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E7F" w:rsidRDefault="00CB7E7F">
    <w:pPr>
      <w:pStyle w:val="Footer"/>
      <w:jc w:val="right"/>
    </w:pPr>
    <w:r>
      <w:t xml:space="preserve">Page | </w:t>
    </w:r>
    <w:r>
      <w:fldChar w:fldCharType="begin"/>
    </w:r>
    <w:r>
      <w:instrText xml:space="preserve"> PAGE   \* MERGEFORMAT </w:instrText>
    </w:r>
    <w:r>
      <w:fldChar w:fldCharType="separate"/>
    </w:r>
    <w:r w:rsidR="00F41811">
      <w:rPr>
        <w:noProof/>
      </w:rPr>
      <w:t>12</w:t>
    </w:r>
    <w:r>
      <w:rPr>
        <w:noProof/>
      </w:rPr>
      <w:fldChar w:fldCharType="end"/>
    </w:r>
    <w:r>
      <w:t xml:space="preserve"> </w:t>
    </w:r>
  </w:p>
  <w:p w:rsidR="00CB7E7F" w:rsidRDefault="00CB7E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8C9" w:rsidRDefault="007B38C9" w:rsidP="00CB7E7F">
      <w:pPr>
        <w:spacing w:after="0" w:line="240" w:lineRule="auto"/>
      </w:pPr>
      <w:r>
        <w:separator/>
      </w:r>
    </w:p>
  </w:footnote>
  <w:footnote w:type="continuationSeparator" w:id="0">
    <w:p w:rsidR="007B38C9" w:rsidRDefault="007B38C9" w:rsidP="00CB7E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53705A2A"/>
    <w:name w:val="WW8Num2"/>
    <w:lvl w:ilvl="0">
      <w:start w:val="1"/>
      <w:numFmt w:val="lowerRoman"/>
      <w:lvlText w:val="%1)"/>
      <w:lvlJc w:val="left"/>
      <w:pPr>
        <w:tabs>
          <w:tab w:val="num" w:pos="0"/>
        </w:tabs>
        <w:ind w:left="720" w:hanging="360"/>
      </w:pPr>
      <w:rPr>
        <w:rFonts w:ascii="Calibri" w:eastAsia="Calibri" w:hAnsi="Calibri" w:cs="Calibri"/>
      </w:rPr>
    </w:lvl>
    <w:lvl w:ilvl="1">
      <w:start w:val="1"/>
      <w:numFmt w:val="lowerLetter"/>
      <w:lvlText w:val="%2)"/>
      <w:lvlJc w:val="left"/>
      <w:pPr>
        <w:tabs>
          <w:tab w:val="num" w:pos="0"/>
        </w:tabs>
        <w:ind w:left="1440" w:hanging="360"/>
      </w:pPr>
      <w:rPr>
        <w:rFonts w:ascii="Calibri" w:eastAsia="Calibri" w:hAnsi="Calibri" w:cs="Calibri"/>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082"/>
    <w:rsid w:val="00005F1F"/>
    <w:rsid w:val="00015FC8"/>
    <w:rsid w:val="00016E1E"/>
    <w:rsid w:val="0002736E"/>
    <w:rsid w:val="00030349"/>
    <w:rsid w:val="0003221F"/>
    <w:rsid w:val="000327B1"/>
    <w:rsid w:val="00035924"/>
    <w:rsid w:val="00042638"/>
    <w:rsid w:val="00047379"/>
    <w:rsid w:val="000601A6"/>
    <w:rsid w:val="00072AA2"/>
    <w:rsid w:val="00076099"/>
    <w:rsid w:val="00085113"/>
    <w:rsid w:val="000858C6"/>
    <w:rsid w:val="00093282"/>
    <w:rsid w:val="000941F1"/>
    <w:rsid w:val="000B6BDD"/>
    <w:rsid w:val="000C0F81"/>
    <w:rsid w:val="000C1961"/>
    <w:rsid w:val="00112BE8"/>
    <w:rsid w:val="00117C7E"/>
    <w:rsid w:val="00121659"/>
    <w:rsid w:val="0012183C"/>
    <w:rsid w:val="00122BEF"/>
    <w:rsid w:val="001278BE"/>
    <w:rsid w:val="00193FD2"/>
    <w:rsid w:val="001B33DA"/>
    <w:rsid w:val="001C3232"/>
    <w:rsid w:val="001D00EF"/>
    <w:rsid w:val="001D4035"/>
    <w:rsid w:val="001E3C31"/>
    <w:rsid w:val="001F3596"/>
    <w:rsid w:val="0020768E"/>
    <w:rsid w:val="00220852"/>
    <w:rsid w:val="00220A86"/>
    <w:rsid w:val="00230DA3"/>
    <w:rsid w:val="00236A71"/>
    <w:rsid w:val="00271133"/>
    <w:rsid w:val="00274E48"/>
    <w:rsid w:val="00287811"/>
    <w:rsid w:val="002942FB"/>
    <w:rsid w:val="00294F60"/>
    <w:rsid w:val="0029649C"/>
    <w:rsid w:val="002973B6"/>
    <w:rsid w:val="002975FB"/>
    <w:rsid w:val="002C428A"/>
    <w:rsid w:val="002D029D"/>
    <w:rsid w:val="002D3D92"/>
    <w:rsid w:val="002D5C39"/>
    <w:rsid w:val="002E1B67"/>
    <w:rsid w:val="00305ACE"/>
    <w:rsid w:val="00311BFC"/>
    <w:rsid w:val="00311F66"/>
    <w:rsid w:val="00323103"/>
    <w:rsid w:val="003246DC"/>
    <w:rsid w:val="0033090C"/>
    <w:rsid w:val="00331CC5"/>
    <w:rsid w:val="00336A6B"/>
    <w:rsid w:val="00337FF5"/>
    <w:rsid w:val="0034080F"/>
    <w:rsid w:val="003459F1"/>
    <w:rsid w:val="003532E2"/>
    <w:rsid w:val="003649B6"/>
    <w:rsid w:val="00380095"/>
    <w:rsid w:val="00384977"/>
    <w:rsid w:val="003A7AFD"/>
    <w:rsid w:val="003B0201"/>
    <w:rsid w:val="003B21A5"/>
    <w:rsid w:val="003B3D29"/>
    <w:rsid w:val="003B4736"/>
    <w:rsid w:val="003D55AB"/>
    <w:rsid w:val="003D7E47"/>
    <w:rsid w:val="003E0082"/>
    <w:rsid w:val="003E06B0"/>
    <w:rsid w:val="003E0B8A"/>
    <w:rsid w:val="003E4116"/>
    <w:rsid w:val="003F4D9C"/>
    <w:rsid w:val="00400A0C"/>
    <w:rsid w:val="00430FC4"/>
    <w:rsid w:val="0044453C"/>
    <w:rsid w:val="0044641C"/>
    <w:rsid w:val="0046224B"/>
    <w:rsid w:val="0047211D"/>
    <w:rsid w:val="00474661"/>
    <w:rsid w:val="0047507C"/>
    <w:rsid w:val="004826E4"/>
    <w:rsid w:val="00497952"/>
    <w:rsid w:val="004A4FBA"/>
    <w:rsid w:val="004B26A8"/>
    <w:rsid w:val="004B3E90"/>
    <w:rsid w:val="004B7EC6"/>
    <w:rsid w:val="004C243E"/>
    <w:rsid w:val="004D0492"/>
    <w:rsid w:val="004F00A1"/>
    <w:rsid w:val="004F140D"/>
    <w:rsid w:val="004F1956"/>
    <w:rsid w:val="004F52B2"/>
    <w:rsid w:val="00513A00"/>
    <w:rsid w:val="005209D5"/>
    <w:rsid w:val="00561D04"/>
    <w:rsid w:val="00582A5C"/>
    <w:rsid w:val="00586973"/>
    <w:rsid w:val="00586D81"/>
    <w:rsid w:val="005A7D97"/>
    <w:rsid w:val="005C10A0"/>
    <w:rsid w:val="005C3FC0"/>
    <w:rsid w:val="005C47D9"/>
    <w:rsid w:val="005D18DC"/>
    <w:rsid w:val="005D2689"/>
    <w:rsid w:val="005D3BEE"/>
    <w:rsid w:val="005D4775"/>
    <w:rsid w:val="005D60D5"/>
    <w:rsid w:val="006074D6"/>
    <w:rsid w:val="0062253B"/>
    <w:rsid w:val="00625943"/>
    <w:rsid w:val="006304EC"/>
    <w:rsid w:val="00636A18"/>
    <w:rsid w:val="006803D0"/>
    <w:rsid w:val="00680B47"/>
    <w:rsid w:val="00685B04"/>
    <w:rsid w:val="00687947"/>
    <w:rsid w:val="006953F8"/>
    <w:rsid w:val="006A04AB"/>
    <w:rsid w:val="006A1105"/>
    <w:rsid w:val="006A45C8"/>
    <w:rsid w:val="006A5B41"/>
    <w:rsid w:val="006B2E1A"/>
    <w:rsid w:val="006C4EE5"/>
    <w:rsid w:val="006E2D08"/>
    <w:rsid w:val="006E44AD"/>
    <w:rsid w:val="006E49D4"/>
    <w:rsid w:val="006E5D20"/>
    <w:rsid w:val="00703AAE"/>
    <w:rsid w:val="007107E6"/>
    <w:rsid w:val="0071118A"/>
    <w:rsid w:val="0071261F"/>
    <w:rsid w:val="0072098C"/>
    <w:rsid w:val="007407B0"/>
    <w:rsid w:val="00742AFA"/>
    <w:rsid w:val="007633F0"/>
    <w:rsid w:val="00781AF4"/>
    <w:rsid w:val="00786AA1"/>
    <w:rsid w:val="0079272A"/>
    <w:rsid w:val="007A282C"/>
    <w:rsid w:val="007B38C9"/>
    <w:rsid w:val="007B4C39"/>
    <w:rsid w:val="007B798E"/>
    <w:rsid w:val="007C03E0"/>
    <w:rsid w:val="007C1B7C"/>
    <w:rsid w:val="007C24F5"/>
    <w:rsid w:val="007D1AA3"/>
    <w:rsid w:val="007D510A"/>
    <w:rsid w:val="007E2959"/>
    <w:rsid w:val="007F015A"/>
    <w:rsid w:val="008016BD"/>
    <w:rsid w:val="00804332"/>
    <w:rsid w:val="008048FC"/>
    <w:rsid w:val="00821B8B"/>
    <w:rsid w:val="00823452"/>
    <w:rsid w:val="00825447"/>
    <w:rsid w:val="00843F10"/>
    <w:rsid w:val="008536F1"/>
    <w:rsid w:val="0085383F"/>
    <w:rsid w:val="008563EE"/>
    <w:rsid w:val="00856A0F"/>
    <w:rsid w:val="00857D09"/>
    <w:rsid w:val="00871EB2"/>
    <w:rsid w:val="00893095"/>
    <w:rsid w:val="008B4C25"/>
    <w:rsid w:val="008C1437"/>
    <w:rsid w:val="008C31F0"/>
    <w:rsid w:val="008C6A7A"/>
    <w:rsid w:val="008D4BB7"/>
    <w:rsid w:val="008E66CD"/>
    <w:rsid w:val="008F4617"/>
    <w:rsid w:val="008F540E"/>
    <w:rsid w:val="009045BF"/>
    <w:rsid w:val="00904CC7"/>
    <w:rsid w:val="00913691"/>
    <w:rsid w:val="0093498F"/>
    <w:rsid w:val="00947EB6"/>
    <w:rsid w:val="00960A4A"/>
    <w:rsid w:val="00960B30"/>
    <w:rsid w:val="009611DD"/>
    <w:rsid w:val="00963D76"/>
    <w:rsid w:val="009B16D9"/>
    <w:rsid w:val="009C15E9"/>
    <w:rsid w:val="009C477E"/>
    <w:rsid w:val="009C6286"/>
    <w:rsid w:val="009D69E3"/>
    <w:rsid w:val="009E4294"/>
    <w:rsid w:val="00A02289"/>
    <w:rsid w:val="00A044EA"/>
    <w:rsid w:val="00A139A4"/>
    <w:rsid w:val="00A16324"/>
    <w:rsid w:val="00A1665A"/>
    <w:rsid w:val="00A246B3"/>
    <w:rsid w:val="00A3034D"/>
    <w:rsid w:val="00A329EC"/>
    <w:rsid w:val="00A3468E"/>
    <w:rsid w:val="00A447F9"/>
    <w:rsid w:val="00A5662E"/>
    <w:rsid w:val="00A72952"/>
    <w:rsid w:val="00AB1173"/>
    <w:rsid w:val="00AB1E6F"/>
    <w:rsid w:val="00AC04C5"/>
    <w:rsid w:val="00AC0A0D"/>
    <w:rsid w:val="00AC433A"/>
    <w:rsid w:val="00AC470E"/>
    <w:rsid w:val="00AE0821"/>
    <w:rsid w:val="00AE1524"/>
    <w:rsid w:val="00AE3BE6"/>
    <w:rsid w:val="00AE59FC"/>
    <w:rsid w:val="00AF0BB1"/>
    <w:rsid w:val="00B116F5"/>
    <w:rsid w:val="00B1431E"/>
    <w:rsid w:val="00B16849"/>
    <w:rsid w:val="00B20A73"/>
    <w:rsid w:val="00B24883"/>
    <w:rsid w:val="00B429D7"/>
    <w:rsid w:val="00B616A9"/>
    <w:rsid w:val="00BB3BEC"/>
    <w:rsid w:val="00BB54BE"/>
    <w:rsid w:val="00BB6D1F"/>
    <w:rsid w:val="00BD22DA"/>
    <w:rsid w:val="00BE5824"/>
    <w:rsid w:val="00BF2E79"/>
    <w:rsid w:val="00BF6D19"/>
    <w:rsid w:val="00C17145"/>
    <w:rsid w:val="00C207AA"/>
    <w:rsid w:val="00C665FF"/>
    <w:rsid w:val="00C81E2B"/>
    <w:rsid w:val="00C85951"/>
    <w:rsid w:val="00C90662"/>
    <w:rsid w:val="00CA2C15"/>
    <w:rsid w:val="00CA7DF4"/>
    <w:rsid w:val="00CB2DBE"/>
    <w:rsid w:val="00CB7E7F"/>
    <w:rsid w:val="00CC0162"/>
    <w:rsid w:val="00CE22ED"/>
    <w:rsid w:val="00CE40F7"/>
    <w:rsid w:val="00CE56D6"/>
    <w:rsid w:val="00CF1337"/>
    <w:rsid w:val="00CF202C"/>
    <w:rsid w:val="00CF4926"/>
    <w:rsid w:val="00CF69B3"/>
    <w:rsid w:val="00D03CD2"/>
    <w:rsid w:val="00D05767"/>
    <w:rsid w:val="00D06E7B"/>
    <w:rsid w:val="00D12649"/>
    <w:rsid w:val="00D13674"/>
    <w:rsid w:val="00D22188"/>
    <w:rsid w:val="00D2542B"/>
    <w:rsid w:val="00D44E50"/>
    <w:rsid w:val="00D44F45"/>
    <w:rsid w:val="00D51A6F"/>
    <w:rsid w:val="00D52E6B"/>
    <w:rsid w:val="00D609FB"/>
    <w:rsid w:val="00D65D9A"/>
    <w:rsid w:val="00D7399E"/>
    <w:rsid w:val="00D7591D"/>
    <w:rsid w:val="00D76F9D"/>
    <w:rsid w:val="00D82DE5"/>
    <w:rsid w:val="00D83061"/>
    <w:rsid w:val="00D840DB"/>
    <w:rsid w:val="00D93E08"/>
    <w:rsid w:val="00D955C7"/>
    <w:rsid w:val="00DA23AB"/>
    <w:rsid w:val="00DB4E0F"/>
    <w:rsid w:val="00DB7EA8"/>
    <w:rsid w:val="00DC3BC3"/>
    <w:rsid w:val="00DD0D68"/>
    <w:rsid w:val="00DD25CD"/>
    <w:rsid w:val="00DE055A"/>
    <w:rsid w:val="00DE33ED"/>
    <w:rsid w:val="00DF3B31"/>
    <w:rsid w:val="00DF6F6B"/>
    <w:rsid w:val="00E359D2"/>
    <w:rsid w:val="00E51CAA"/>
    <w:rsid w:val="00E52C9E"/>
    <w:rsid w:val="00E55F8F"/>
    <w:rsid w:val="00E5783D"/>
    <w:rsid w:val="00E62241"/>
    <w:rsid w:val="00E724CE"/>
    <w:rsid w:val="00E7421F"/>
    <w:rsid w:val="00E927F4"/>
    <w:rsid w:val="00EB48BE"/>
    <w:rsid w:val="00EB7533"/>
    <w:rsid w:val="00EC1132"/>
    <w:rsid w:val="00EC45E2"/>
    <w:rsid w:val="00ED3B9B"/>
    <w:rsid w:val="00ED75A9"/>
    <w:rsid w:val="00EE2B0C"/>
    <w:rsid w:val="00EE5F31"/>
    <w:rsid w:val="00EF3DCB"/>
    <w:rsid w:val="00EF5FE7"/>
    <w:rsid w:val="00F05D4A"/>
    <w:rsid w:val="00F05E4E"/>
    <w:rsid w:val="00F06DD8"/>
    <w:rsid w:val="00F34EBD"/>
    <w:rsid w:val="00F35395"/>
    <w:rsid w:val="00F35C7F"/>
    <w:rsid w:val="00F3674A"/>
    <w:rsid w:val="00F41811"/>
    <w:rsid w:val="00F44699"/>
    <w:rsid w:val="00F5238C"/>
    <w:rsid w:val="00F5266C"/>
    <w:rsid w:val="00F54FC2"/>
    <w:rsid w:val="00F55395"/>
    <w:rsid w:val="00F605E1"/>
    <w:rsid w:val="00F61E8A"/>
    <w:rsid w:val="00F67A0A"/>
    <w:rsid w:val="00F82E46"/>
    <w:rsid w:val="00F84576"/>
    <w:rsid w:val="00F94B8C"/>
    <w:rsid w:val="00FA0812"/>
    <w:rsid w:val="00FC0135"/>
    <w:rsid w:val="00FC33C6"/>
    <w:rsid w:val="00FD4AEF"/>
    <w:rsid w:val="00FD6B3A"/>
    <w:rsid w:val="00FF644F"/>
    <w:rsid w:val="00FF7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Heading1">
    <w:name w:val="heading 1"/>
    <w:basedOn w:val="Normal"/>
    <w:next w:val="Normal"/>
    <w:qFormat/>
    <w:pPr>
      <w:keepNext/>
      <w:keepLines/>
      <w:numPr>
        <w:numId w:val="1"/>
      </w:numPr>
      <w:spacing w:before="480" w:after="0"/>
      <w:outlineLvl w:val="0"/>
    </w:pPr>
    <w:rPr>
      <w:rFonts w:ascii="Cambria" w:eastAsia="MS Gothic"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aultParagraphFont1">
    <w:name w:val="Default Paragraph Font1"/>
  </w:style>
  <w:style w:type="character" w:customStyle="1" w:styleId="BalloonTextChar">
    <w:name w:val="Balloon Text Char"/>
    <w:rPr>
      <w:rFonts w:ascii="Tahoma" w:hAnsi="Tahoma" w:cs="Tahoma"/>
      <w:sz w:val="16"/>
      <w:szCs w:val="16"/>
    </w:rPr>
  </w:style>
  <w:style w:type="character" w:customStyle="1" w:styleId="EndnoteTextChar">
    <w:name w:val="Endnote Text Char"/>
    <w:basedOn w:val="DefaultParagraphFont1"/>
  </w:style>
  <w:style w:type="character" w:customStyle="1" w:styleId="EndnoteCharacters">
    <w:name w:val="Endnote Characters"/>
    <w:rPr>
      <w:vertAlign w:val="superscript"/>
    </w:rPr>
  </w:style>
  <w:style w:type="character" w:customStyle="1" w:styleId="Heading1Char">
    <w:name w:val="Heading 1 Char"/>
    <w:rPr>
      <w:rFonts w:ascii="Cambria" w:eastAsia="MS Gothic" w:hAnsi="Cambria"/>
      <w:b/>
      <w:bCs/>
      <w:color w:val="365F91"/>
      <w:sz w:val="28"/>
      <w:szCs w:val="28"/>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alloonText">
    <w:name w:val="Balloon Text"/>
    <w:basedOn w:val="Normal"/>
    <w:pPr>
      <w:spacing w:after="0" w:line="240" w:lineRule="auto"/>
    </w:pPr>
    <w:rPr>
      <w:rFonts w:ascii="Tahoma" w:hAnsi="Tahoma" w:cs="Tahoma"/>
      <w:sz w:val="16"/>
      <w:szCs w:val="16"/>
    </w:rPr>
  </w:style>
  <w:style w:type="paragraph" w:styleId="ListParagraph">
    <w:name w:val="List Paragraph"/>
    <w:basedOn w:val="Normal"/>
    <w:qFormat/>
    <w:pPr>
      <w:ind w:left="720"/>
    </w:pPr>
  </w:style>
  <w:style w:type="paragraph" w:styleId="EndnoteText">
    <w:name w:val="endnote text"/>
    <w:basedOn w:val="Normal"/>
    <w:rPr>
      <w:sz w:val="20"/>
      <w:szCs w:val="20"/>
    </w:rPr>
  </w:style>
  <w:style w:type="paragraph" w:styleId="Bibliography">
    <w:name w:val="Bibliography"/>
    <w:basedOn w:val="Normal"/>
    <w:next w:val="Normal"/>
    <w:pPr>
      <w:tabs>
        <w:tab w:val="left" w:pos="384"/>
      </w:tabs>
      <w:spacing w:after="0" w:line="240" w:lineRule="auto"/>
      <w:ind w:left="384" w:hanging="384"/>
    </w:pPr>
  </w:style>
  <w:style w:type="paragraph" w:styleId="NoSpacing">
    <w:name w:val="No Spacing"/>
    <w:link w:val="NoSpacingChar"/>
    <w:uiPriority w:val="1"/>
    <w:qFormat/>
    <w:rsid w:val="00D12649"/>
    <w:rPr>
      <w:rFonts w:ascii="Calibri" w:eastAsia="MS Mincho" w:hAnsi="Calibri" w:cs="Arial"/>
      <w:sz w:val="22"/>
      <w:szCs w:val="22"/>
      <w:lang w:eastAsia="ja-JP"/>
    </w:rPr>
  </w:style>
  <w:style w:type="character" w:customStyle="1" w:styleId="NoSpacingChar">
    <w:name w:val="No Spacing Char"/>
    <w:link w:val="NoSpacing"/>
    <w:uiPriority w:val="1"/>
    <w:rsid w:val="00D12649"/>
    <w:rPr>
      <w:rFonts w:ascii="Calibri" w:eastAsia="MS Mincho" w:hAnsi="Calibri" w:cs="Arial"/>
      <w:sz w:val="22"/>
      <w:szCs w:val="22"/>
      <w:lang w:eastAsia="ja-JP"/>
    </w:rPr>
  </w:style>
  <w:style w:type="paragraph" w:styleId="Header">
    <w:name w:val="header"/>
    <w:basedOn w:val="Normal"/>
    <w:link w:val="HeaderChar"/>
    <w:uiPriority w:val="99"/>
    <w:unhideWhenUsed/>
    <w:rsid w:val="00CB7E7F"/>
    <w:pPr>
      <w:tabs>
        <w:tab w:val="center" w:pos="4680"/>
        <w:tab w:val="right" w:pos="9360"/>
      </w:tabs>
    </w:pPr>
  </w:style>
  <w:style w:type="character" w:customStyle="1" w:styleId="HeaderChar">
    <w:name w:val="Header Char"/>
    <w:link w:val="Header"/>
    <w:uiPriority w:val="99"/>
    <w:rsid w:val="00CB7E7F"/>
    <w:rPr>
      <w:rFonts w:ascii="Calibri" w:eastAsia="Calibri" w:hAnsi="Calibri" w:cs="Calibri"/>
      <w:sz w:val="22"/>
      <w:szCs w:val="22"/>
      <w:lang w:eastAsia="ar-SA"/>
    </w:rPr>
  </w:style>
  <w:style w:type="paragraph" w:styleId="Footer">
    <w:name w:val="footer"/>
    <w:basedOn w:val="Normal"/>
    <w:link w:val="FooterChar"/>
    <w:uiPriority w:val="99"/>
    <w:unhideWhenUsed/>
    <w:rsid w:val="00CB7E7F"/>
    <w:pPr>
      <w:tabs>
        <w:tab w:val="center" w:pos="4680"/>
        <w:tab w:val="right" w:pos="9360"/>
      </w:tabs>
    </w:pPr>
  </w:style>
  <w:style w:type="character" w:customStyle="1" w:styleId="FooterChar">
    <w:name w:val="Footer Char"/>
    <w:link w:val="Footer"/>
    <w:uiPriority w:val="99"/>
    <w:rsid w:val="00CB7E7F"/>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Heading1">
    <w:name w:val="heading 1"/>
    <w:basedOn w:val="Normal"/>
    <w:next w:val="Normal"/>
    <w:qFormat/>
    <w:pPr>
      <w:keepNext/>
      <w:keepLines/>
      <w:numPr>
        <w:numId w:val="1"/>
      </w:numPr>
      <w:spacing w:before="480" w:after="0"/>
      <w:outlineLvl w:val="0"/>
    </w:pPr>
    <w:rPr>
      <w:rFonts w:ascii="Cambria" w:eastAsia="MS Gothic"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DefaultParagraphFont1">
    <w:name w:val="Default Paragraph Font1"/>
  </w:style>
  <w:style w:type="character" w:customStyle="1" w:styleId="BalloonTextChar">
    <w:name w:val="Balloon Text Char"/>
    <w:rPr>
      <w:rFonts w:ascii="Tahoma" w:hAnsi="Tahoma" w:cs="Tahoma"/>
      <w:sz w:val="16"/>
      <w:szCs w:val="16"/>
    </w:rPr>
  </w:style>
  <w:style w:type="character" w:customStyle="1" w:styleId="EndnoteTextChar">
    <w:name w:val="Endnote Text Char"/>
    <w:basedOn w:val="DefaultParagraphFont1"/>
  </w:style>
  <w:style w:type="character" w:customStyle="1" w:styleId="EndnoteCharacters">
    <w:name w:val="Endnote Characters"/>
    <w:rPr>
      <w:vertAlign w:val="superscript"/>
    </w:rPr>
  </w:style>
  <w:style w:type="character" w:customStyle="1" w:styleId="Heading1Char">
    <w:name w:val="Heading 1 Char"/>
    <w:rPr>
      <w:rFonts w:ascii="Cambria" w:eastAsia="MS Gothic" w:hAnsi="Cambria"/>
      <w:b/>
      <w:bCs/>
      <w:color w:val="365F91"/>
      <w:sz w:val="28"/>
      <w:szCs w:val="28"/>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alloonText">
    <w:name w:val="Balloon Text"/>
    <w:basedOn w:val="Normal"/>
    <w:pPr>
      <w:spacing w:after="0" w:line="240" w:lineRule="auto"/>
    </w:pPr>
    <w:rPr>
      <w:rFonts w:ascii="Tahoma" w:hAnsi="Tahoma" w:cs="Tahoma"/>
      <w:sz w:val="16"/>
      <w:szCs w:val="16"/>
    </w:rPr>
  </w:style>
  <w:style w:type="paragraph" w:styleId="ListParagraph">
    <w:name w:val="List Paragraph"/>
    <w:basedOn w:val="Normal"/>
    <w:qFormat/>
    <w:pPr>
      <w:ind w:left="720"/>
    </w:pPr>
  </w:style>
  <w:style w:type="paragraph" w:styleId="EndnoteText">
    <w:name w:val="endnote text"/>
    <w:basedOn w:val="Normal"/>
    <w:rPr>
      <w:sz w:val="20"/>
      <w:szCs w:val="20"/>
    </w:rPr>
  </w:style>
  <w:style w:type="paragraph" w:styleId="Bibliography">
    <w:name w:val="Bibliography"/>
    <w:basedOn w:val="Normal"/>
    <w:next w:val="Normal"/>
    <w:pPr>
      <w:tabs>
        <w:tab w:val="left" w:pos="384"/>
      </w:tabs>
      <w:spacing w:after="0" w:line="240" w:lineRule="auto"/>
      <w:ind w:left="384" w:hanging="384"/>
    </w:pPr>
  </w:style>
  <w:style w:type="paragraph" w:styleId="NoSpacing">
    <w:name w:val="No Spacing"/>
    <w:link w:val="NoSpacingChar"/>
    <w:uiPriority w:val="1"/>
    <w:qFormat/>
    <w:rsid w:val="00D12649"/>
    <w:rPr>
      <w:rFonts w:ascii="Calibri" w:eastAsia="MS Mincho" w:hAnsi="Calibri" w:cs="Arial"/>
      <w:sz w:val="22"/>
      <w:szCs w:val="22"/>
      <w:lang w:eastAsia="ja-JP"/>
    </w:rPr>
  </w:style>
  <w:style w:type="character" w:customStyle="1" w:styleId="NoSpacingChar">
    <w:name w:val="No Spacing Char"/>
    <w:link w:val="NoSpacing"/>
    <w:uiPriority w:val="1"/>
    <w:rsid w:val="00D12649"/>
    <w:rPr>
      <w:rFonts w:ascii="Calibri" w:eastAsia="MS Mincho" w:hAnsi="Calibri" w:cs="Arial"/>
      <w:sz w:val="22"/>
      <w:szCs w:val="22"/>
      <w:lang w:eastAsia="ja-JP"/>
    </w:rPr>
  </w:style>
  <w:style w:type="paragraph" w:styleId="Header">
    <w:name w:val="header"/>
    <w:basedOn w:val="Normal"/>
    <w:link w:val="HeaderChar"/>
    <w:uiPriority w:val="99"/>
    <w:unhideWhenUsed/>
    <w:rsid w:val="00CB7E7F"/>
    <w:pPr>
      <w:tabs>
        <w:tab w:val="center" w:pos="4680"/>
        <w:tab w:val="right" w:pos="9360"/>
      </w:tabs>
    </w:pPr>
  </w:style>
  <w:style w:type="character" w:customStyle="1" w:styleId="HeaderChar">
    <w:name w:val="Header Char"/>
    <w:link w:val="Header"/>
    <w:uiPriority w:val="99"/>
    <w:rsid w:val="00CB7E7F"/>
    <w:rPr>
      <w:rFonts w:ascii="Calibri" w:eastAsia="Calibri" w:hAnsi="Calibri" w:cs="Calibri"/>
      <w:sz w:val="22"/>
      <w:szCs w:val="22"/>
      <w:lang w:eastAsia="ar-SA"/>
    </w:rPr>
  </w:style>
  <w:style w:type="paragraph" w:styleId="Footer">
    <w:name w:val="footer"/>
    <w:basedOn w:val="Normal"/>
    <w:link w:val="FooterChar"/>
    <w:uiPriority w:val="99"/>
    <w:unhideWhenUsed/>
    <w:rsid w:val="00CB7E7F"/>
    <w:pPr>
      <w:tabs>
        <w:tab w:val="center" w:pos="4680"/>
        <w:tab w:val="right" w:pos="9360"/>
      </w:tabs>
    </w:pPr>
  </w:style>
  <w:style w:type="character" w:customStyle="1" w:styleId="FooterChar">
    <w:name w:val="Footer Char"/>
    <w:link w:val="Footer"/>
    <w:uiPriority w:val="99"/>
    <w:rsid w:val="00CB7E7F"/>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1723</Words>
  <Characters>9826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Design Review</vt:lpstr>
    </vt:vector>
  </TitlesOfParts>
  <Company>VLSI Design 6332</Company>
  <LinksUpToDate>false</LinksUpToDate>
  <CharactersWithSpaces>11526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Review</dc:title>
  <dc:creator>ab9ca</dc:creator>
  <cp:lastModifiedBy>ab9ca</cp:lastModifiedBy>
  <cp:revision>4</cp:revision>
  <cp:lastPrinted>2012-10-05T21:46:00Z</cp:lastPrinted>
  <dcterms:created xsi:type="dcterms:W3CDTF">2012-11-30T18:06:00Z</dcterms:created>
  <dcterms:modified xsi:type="dcterms:W3CDTF">2012-11-30T18:07:00Z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zotero-version="3.0.8"&gt;&lt;session id="QbWPkTxC"/&gt;&lt;style id="http://www.zotero.org/styles/ieee" hasBibliography="1" bibliographyStyleHasBeenSet="1"/&gt;&lt;prefs&gt;&lt;pref name="fieldType" value="Field"/&gt;&lt;pref name="storeReferences" value="true"</vt:lpwstr>
  </property>
  <property fmtid="{D5CDD505-2E9C-101B-9397-08002B2CF9AE}" pid="3" name="ZOTERO_PREF_2">
    <vt:lpwstr>/&gt;&lt;pref name="noteType" value="0"/&gt;&lt;/prefs&gt;&lt;/data&gt;</vt:lpwstr>
  </property>
</Properties>
</file>